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5.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4.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B5473" w14:textId="77777777" w:rsidR="005F6458" w:rsidRPr="005F6458" w:rsidRDefault="005F6458" w:rsidP="005F6458">
      <w:pPr>
        <w:rPr>
          <w:rFonts w:ascii="FBAPIO+Arial,Bold" w:hAnsi="FBAPIO+Arial,Bold" w:cs="FBAPIO+Arial,Bold"/>
          <w:color w:val="000000"/>
          <w:sz w:val="24"/>
          <w:szCs w:val="24"/>
          <w:lang w:val="nl-BE" w:eastAsia="nl-BE"/>
        </w:rPr>
      </w:pPr>
    </w:p>
    <w:p w14:paraId="726CCD52" w14:textId="77777777" w:rsidR="00B25795" w:rsidRDefault="005F6458" w:rsidP="005F6458">
      <w:pPr>
        <w:spacing w:after="240"/>
        <w:jc w:val="center"/>
        <w:rPr>
          <w:rFonts w:ascii="FBAPIO+Arial,Bold" w:hAnsi="FBAPIO+Arial,Bold" w:cs="FBAPIO+Arial,Bold"/>
          <w:b/>
          <w:bCs/>
          <w:color w:val="000000"/>
          <w:sz w:val="36"/>
          <w:szCs w:val="36"/>
          <w:lang w:val="nl-BE" w:eastAsia="nl-BE"/>
        </w:rPr>
      </w:pPr>
      <w:r w:rsidRPr="005F6458">
        <w:rPr>
          <w:rFonts w:ascii="FBAPIO+Arial,Bold" w:hAnsi="FBAPIO+Arial,Bold"/>
          <w:sz w:val="24"/>
          <w:szCs w:val="24"/>
          <w:lang w:val="nl-BE" w:eastAsia="nl-BE"/>
        </w:rPr>
        <w:t xml:space="preserve"> </w:t>
      </w:r>
      <w:r w:rsidRPr="005F6458">
        <w:rPr>
          <w:rFonts w:ascii="FBAPIO+Arial,Bold" w:hAnsi="FBAPIO+Arial,Bold" w:cs="FBAPIO+Arial,Bold"/>
          <w:b/>
          <w:bCs/>
          <w:color w:val="000000"/>
          <w:sz w:val="36"/>
          <w:szCs w:val="36"/>
          <w:lang w:val="nl-BE" w:eastAsia="nl-BE"/>
        </w:rPr>
        <w:t xml:space="preserve">Aansluitingscontract Aardgas – </w:t>
      </w:r>
    </w:p>
    <w:p w14:paraId="7EA4DF5D" w14:textId="2528E2B0" w:rsidR="00B25795" w:rsidRPr="00B25795" w:rsidRDefault="005F6458" w:rsidP="005F6458">
      <w:pPr>
        <w:spacing w:after="240"/>
        <w:jc w:val="center"/>
        <w:rPr>
          <w:rFonts w:ascii="FBAPIO+Arial,Bold" w:hAnsi="FBAPIO+Arial,Bold" w:cs="FBAPIO+Arial,Bold"/>
          <w:b/>
          <w:bCs/>
          <w:color w:val="000000"/>
          <w:sz w:val="32"/>
          <w:szCs w:val="36"/>
          <w:lang w:val="nl-BE" w:eastAsia="nl-BE"/>
        </w:rPr>
      </w:pPr>
      <w:r w:rsidRPr="00B25795">
        <w:rPr>
          <w:rFonts w:ascii="FBAPIO+Arial,Bold" w:hAnsi="FBAPIO+Arial,Bold" w:cs="FBAPIO+Arial,Bold"/>
          <w:b/>
          <w:bCs/>
          <w:color w:val="000000"/>
          <w:sz w:val="32"/>
          <w:szCs w:val="36"/>
          <w:lang w:val="nl-BE" w:eastAsia="nl-BE"/>
        </w:rPr>
        <w:t xml:space="preserve">Middendruk </w:t>
      </w:r>
      <w:r w:rsidR="00860E5E">
        <w:rPr>
          <w:rFonts w:ascii="FBAPIO+Arial,Bold" w:hAnsi="FBAPIO+Arial,Bold" w:cs="FBAPIO+Arial,Bold"/>
          <w:b/>
          <w:bCs/>
          <w:color w:val="000000"/>
          <w:sz w:val="32"/>
          <w:szCs w:val="36"/>
          <w:lang w:val="nl-BE" w:eastAsia="nl-BE"/>
        </w:rPr>
        <w:t xml:space="preserve">voor afname van aardgas </w:t>
      </w:r>
      <w:r w:rsidR="00647BCA" w:rsidRPr="00B25795">
        <w:rPr>
          <w:rFonts w:ascii="FBAPIO+Arial,Bold" w:hAnsi="FBAPIO+Arial,Bold" w:cs="FBAPIO+Arial,Bold"/>
          <w:b/>
          <w:bCs/>
          <w:color w:val="000000"/>
          <w:sz w:val="32"/>
          <w:szCs w:val="36"/>
          <w:lang w:val="nl-BE" w:eastAsia="nl-BE"/>
        </w:rPr>
        <w:t xml:space="preserve">met </w:t>
      </w:r>
      <w:r w:rsidR="009C15F6">
        <w:rPr>
          <w:rFonts w:ascii="FBAPIO+Arial,Bold" w:hAnsi="FBAPIO+Arial,Bold" w:cs="FBAPIO+Arial,Bold"/>
          <w:b/>
          <w:bCs/>
          <w:color w:val="000000"/>
          <w:sz w:val="32"/>
          <w:szCs w:val="36"/>
          <w:lang w:val="nl-BE" w:eastAsia="nl-BE"/>
        </w:rPr>
        <w:t>A</w:t>
      </w:r>
      <w:r w:rsidR="009C15F6" w:rsidRPr="00B25795">
        <w:rPr>
          <w:rFonts w:ascii="FBAPIO+Arial,Bold" w:hAnsi="FBAPIO+Arial,Bold" w:cs="FBAPIO+Arial,Bold"/>
          <w:b/>
          <w:bCs/>
          <w:color w:val="000000"/>
          <w:sz w:val="32"/>
          <w:szCs w:val="36"/>
          <w:lang w:val="nl-BE" w:eastAsia="nl-BE"/>
        </w:rPr>
        <w:t xml:space="preserve">ansluitingscapaciteit </w:t>
      </w:r>
      <w:r w:rsidR="00A51B73">
        <w:rPr>
          <w:rFonts w:cs="Arial"/>
          <w:b/>
          <w:bCs/>
          <w:color w:val="000000"/>
          <w:sz w:val="32"/>
          <w:szCs w:val="36"/>
          <w:lang w:val="nl-BE" w:eastAsia="nl-BE"/>
        </w:rPr>
        <w:t>≥</w:t>
      </w:r>
      <w:r w:rsidRPr="00B25795">
        <w:rPr>
          <w:rFonts w:ascii="FBAPIO+Arial,Bold" w:hAnsi="FBAPIO+Arial,Bold" w:cs="FBAPIO+Arial,Bold"/>
          <w:b/>
          <w:bCs/>
          <w:color w:val="000000"/>
          <w:sz w:val="32"/>
          <w:szCs w:val="36"/>
          <w:lang w:val="nl-BE" w:eastAsia="nl-BE"/>
        </w:rPr>
        <w:t xml:space="preserve"> 300 m³(n)/h </w:t>
      </w:r>
    </w:p>
    <w:p w14:paraId="1C890AD3" w14:textId="77777777" w:rsidR="0058760B" w:rsidRDefault="001C0F03" w:rsidP="0058760B">
      <w:pPr>
        <w:pStyle w:val="Kop4"/>
        <w:jc w:val="center"/>
        <w:rPr>
          <w:lang w:val="nl-BE"/>
        </w:rPr>
      </w:pPr>
      <w:fldSimple w:instr=" MERGEFIELD EAN1 \* MERGEFORMAT ">
        <w:r w:rsidR="0058760B">
          <w:rPr>
            <w:noProof/>
            <w:lang w:val="nl-BE"/>
          </w:rPr>
          <w:t>«EAN1»</w:t>
        </w:r>
      </w:fldSimple>
    </w:p>
    <w:p w14:paraId="48DE1F4E" w14:textId="77777777" w:rsidR="00F70F9E" w:rsidRDefault="00F70F9E">
      <w:pPr>
        <w:pStyle w:val="BlockLine"/>
        <w:ind w:right="282"/>
        <w:rPr>
          <w:lang w:val="nl-BE"/>
        </w:rPr>
      </w:pPr>
      <w:r>
        <w:rPr>
          <w:lang w:val="nl-BE"/>
        </w:rPr>
        <w:t xml:space="preserve"> </w:t>
      </w:r>
    </w:p>
    <w:tbl>
      <w:tblPr>
        <w:tblW w:w="9472" w:type="dxa"/>
        <w:tblLayout w:type="fixed"/>
        <w:tblLook w:val="0000" w:firstRow="0" w:lastRow="0" w:firstColumn="0" w:lastColumn="0" w:noHBand="0" w:noVBand="0"/>
      </w:tblPr>
      <w:tblGrid>
        <w:gridCol w:w="1732"/>
        <w:gridCol w:w="7732"/>
        <w:gridCol w:w="8"/>
      </w:tblGrid>
      <w:tr w:rsidR="00F70F9E" w14:paraId="4C2894EF" w14:textId="77777777">
        <w:tc>
          <w:tcPr>
            <w:tcW w:w="1732" w:type="dxa"/>
          </w:tcPr>
          <w:p w14:paraId="0C63C1B7" w14:textId="77777777" w:rsidR="00F70F9E" w:rsidRDefault="00F70F9E">
            <w:pPr>
              <w:pStyle w:val="Kop5"/>
              <w:rPr>
                <w:lang w:val="nl-BE"/>
              </w:rPr>
            </w:pPr>
            <w:r>
              <w:rPr>
                <w:lang w:val="nl-BE"/>
              </w:rPr>
              <w:t xml:space="preserve">Tussen </w:t>
            </w:r>
          </w:p>
        </w:tc>
        <w:tc>
          <w:tcPr>
            <w:tcW w:w="7740" w:type="dxa"/>
            <w:gridSpan w:val="2"/>
          </w:tcPr>
          <w:p w14:paraId="6A0B3CCE" w14:textId="24C024FB" w:rsidR="00F70F9E" w:rsidRDefault="0058760B" w:rsidP="00656336">
            <w:pPr>
              <w:pStyle w:val="TOCStem"/>
              <w:tabs>
                <w:tab w:val="right" w:leader="dot" w:pos="8789"/>
              </w:tabs>
              <w:rPr>
                <w:lang w:val="nl-BE"/>
              </w:rPr>
            </w:pPr>
            <w:r>
              <w:rPr>
                <w:noProof/>
                <w:color w:val="4F81BD" w:themeColor="accent1"/>
                <w:lang w:val="nl-BE"/>
              </w:rPr>
              <w:fldChar w:fldCharType="begin"/>
            </w:r>
            <w:r>
              <w:rPr>
                <w:noProof/>
                <w:color w:val="4F81BD" w:themeColor="accent1"/>
                <w:lang w:val="nl-BE"/>
              </w:rPr>
              <w:instrText xml:space="preserve"> MERGEFIELD  NAME1  \* MERGEFORMAT </w:instrText>
            </w:r>
            <w:r>
              <w:rPr>
                <w:noProof/>
                <w:color w:val="4F81BD" w:themeColor="accent1"/>
                <w:lang w:val="nl-BE"/>
              </w:rPr>
              <w:fldChar w:fldCharType="separate"/>
            </w:r>
            <w:r>
              <w:rPr>
                <w:noProof/>
                <w:color w:val="4F81BD" w:themeColor="accent1"/>
                <w:lang w:val="nl-BE"/>
              </w:rPr>
              <w:t>«NAME1»</w:t>
            </w:r>
            <w:r>
              <w:rPr>
                <w:noProof/>
                <w:color w:val="4F81BD" w:themeColor="accent1"/>
                <w:lang w:val="nl-BE"/>
              </w:rPr>
              <w:fldChar w:fldCharType="end"/>
            </w:r>
          </w:p>
        </w:tc>
      </w:tr>
      <w:tr w:rsidR="00656336" w:rsidRPr="00F27455" w14:paraId="635B33FA" w14:textId="77777777">
        <w:tblPrEx>
          <w:tblCellMar>
            <w:left w:w="80" w:type="dxa"/>
            <w:right w:w="80" w:type="dxa"/>
          </w:tblCellMar>
        </w:tblPrEx>
        <w:trPr>
          <w:gridBefore w:val="1"/>
          <w:gridAfter w:val="1"/>
          <w:wBefore w:w="1732" w:type="dxa"/>
          <w:wAfter w:w="8" w:type="dxa"/>
        </w:trPr>
        <w:tc>
          <w:tcPr>
            <w:tcW w:w="7732" w:type="dxa"/>
          </w:tcPr>
          <w:p w14:paraId="4BE67675" w14:textId="1D193663" w:rsidR="00656336" w:rsidRPr="00656336" w:rsidRDefault="00656336" w:rsidP="0058760B">
            <w:pPr>
              <w:pStyle w:val="TableText"/>
              <w:rPr>
                <w:lang w:val="nl-BE"/>
              </w:rPr>
            </w:pPr>
            <w:r w:rsidRPr="00656336">
              <w:rPr>
                <w:lang w:val="nl-BE"/>
              </w:rPr>
              <w:t xml:space="preserve">Maatschappelijke zetel: </w:t>
            </w:r>
            <w:r w:rsidR="0058760B">
              <w:rPr>
                <w:color w:val="4F81BD" w:themeColor="accent1"/>
              </w:rPr>
              <w:fldChar w:fldCharType="begin"/>
            </w:r>
            <w:r w:rsidR="0058760B">
              <w:rPr>
                <w:color w:val="4F81BD" w:themeColor="accent1"/>
              </w:rPr>
              <w:instrText xml:space="preserve"> MERGEFIELD  ADDRESS </w:instrText>
            </w:r>
            <w:r w:rsidR="0058760B">
              <w:rPr>
                <w:color w:val="4F81BD" w:themeColor="accent1"/>
              </w:rPr>
              <w:fldChar w:fldCharType="separate"/>
            </w:r>
            <w:r w:rsidR="0058760B">
              <w:rPr>
                <w:noProof/>
                <w:color w:val="4F81BD" w:themeColor="accent1"/>
              </w:rPr>
              <w:t>«ADDRESS»</w:t>
            </w:r>
            <w:r w:rsidR="0058760B">
              <w:rPr>
                <w:color w:val="4F81BD" w:themeColor="accent1"/>
              </w:rPr>
              <w:fldChar w:fldCharType="end"/>
            </w:r>
          </w:p>
        </w:tc>
      </w:tr>
      <w:tr w:rsidR="00656336" w:rsidRPr="00656336" w14:paraId="5D40CA02" w14:textId="77777777">
        <w:tblPrEx>
          <w:tblCellMar>
            <w:left w:w="80" w:type="dxa"/>
            <w:right w:w="80" w:type="dxa"/>
          </w:tblCellMar>
        </w:tblPrEx>
        <w:trPr>
          <w:gridBefore w:val="1"/>
          <w:gridAfter w:val="1"/>
          <w:wBefore w:w="1732" w:type="dxa"/>
          <w:wAfter w:w="8" w:type="dxa"/>
        </w:trPr>
        <w:tc>
          <w:tcPr>
            <w:tcW w:w="7732" w:type="dxa"/>
          </w:tcPr>
          <w:p w14:paraId="3CE5F6FB" w14:textId="49E93014" w:rsidR="00656336" w:rsidRDefault="00656336" w:rsidP="0058760B">
            <w:pPr>
              <w:pStyle w:val="TableText"/>
              <w:rPr>
                <w:sz w:val="16"/>
              </w:rPr>
            </w:pPr>
            <w:proofErr w:type="spellStart"/>
            <w:r>
              <w:t>Ondernemingsnummer</w:t>
            </w:r>
            <w:proofErr w:type="spellEnd"/>
            <w:r>
              <w:t xml:space="preserve">: </w:t>
            </w:r>
            <w:r w:rsidR="0058760B">
              <w:rPr>
                <w:color w:val="4F81BD" w:themeColor="accent1"/>
              </w:rPr>
              <w:t>……………………….</w:t>
            </w:r>
          </w:p>
        </w:tc>
      </w:tr>
      <w:tr w:rsidR="00656336" w14:paraId="45FE06E9" w14:textId="77777777">
        <w:tblPrEx>
          <w:tblCellMar>
            <w:left w:w="80" w:type="dxa"/>
            <w:right w:w="80" w:type="dxa"/>
          </w:tblCellMar>
        </w:tblPrEx>
        <w:trPr>
          <w:gridBefore w:val="1"/>
          <w:gridAfter w:val="1"/>
          <w:wBefore w:w="1732" w:type="dxa"/>
          <w:wAfter w:w="8" w:type="dxa"/>
        </w:trPr>
        <w:tc>
          <w:tcPr>
            <w:tcW w:w="7732" w:type="dxa"/>
          </w:tcPr>
          <w:p w14:paraId="19928BDD" w14:textId="2F751635" w:rsidR="00656336" w:rsidRDefault="00656336" w:rsidP="00656336">
            <w:pPr>
              <w:pStyle w:val="TableText"/>
              <w:tabs>
                <w:tab w:val="right" w:leader="dot" w:pos="8789"/>
              </w:tabs>
            </w:pPr>
            <w:r>
              <w:t xml:space="preserve">BTW </w:t>
            </w:r>
            <w:proofErr w:type="spellStart"/>
            <w:r>
              <w:t>nr</w:t>
            </w:r>
            <w:proofErr w:type="spellEnd"/>
            <w:r>
              <w:t xml:space="preserve">.: </w:t>
            </w:r>
            <w:r w:rsidR="0058760B">
              <w:rPr>
                <w:color w:val="4F81BD" w:themeColor="accent1"/>
              </w:rPr>
              <w:t>………………………</w:t>
            </w:r>
          </w:p>
          <w:p w14:paraId="260C6EA9" w14:textId="77777777" w:rsidR="00656336" w:rsidRDefault="00656336" w:rsidP="00656336">
            <w:pPr>
              <w:pStyle w:val="TableText"/>
              <w:tabs>
                <w:tab w:val="right" w:leader="dot" w:pos="8789"/>
              </w:tabs>
            </w:pPr>
          </w:p>
        </w:tc>
      </w:tr>
      <w:tr w:rsidR="00F70F9E" w:rsidRPr="0058760B" w14:paraId="3B705F20" w14:textId="77777777">
        <w:tblPrEx>
          <w:tblCellMar>
            <w:left w:w="80" w:type="dxa"/>
            <w:right w:w="80" w:type="dxa"/>
          </w:tblCellMar>
        </w:tblPrEx>
        <w:trPr>
          <w:gridBefore w:val="1"/>
          <w:gridAfter w:val="1"/>
          <w:wBefore w:w="1732" w:type="dxa"/>
          <w:wAfter w:w="8" w:type="dxa"/>
        </w:trPr>
        <w:tc>
          <w:tcPr>
            <w:tcW w:w="7732" w:type="dxa"/>
          </w:tcPr>
          <w:p w14:paraId="3D5BF75B" w14:textId="505D0D61" w:rsidR="00656336" w:rsidRPr="00656336" w:rsidRDefault="00656336" w:rsidP="00656336">
            <w:pPr>
              <w:pStyle w:val="TableText"/>
              <w:tabs>
                <w:tab w:val="left" w:pos="2265"/>
                <w:tab w:val="right" w:leader="dot" w:pos="8789"/>
              </w:tabs>
              <w:rPr>
                <w:lang w:val="nl-BE"/>
              </w:rPr>
            </w:pPr>
            <w:r w:rsidRPr="00656336">
              <w:rPr>
                <w:lang w:val="nl-BE"/>
              </w:rPr>
              <w:t xml:space="preserve">Vertegenwoordigd door: </w:t>
            </w:r>
            <w:r w:rsidRPr="00656336">
              <w:rPr>
                <w:lang w:val="nl-BE"/>
              </w:rPr>
              <w:tab/>
              <w:t xml:space="preserve"> </w:t>
            </w:r>
            <w:r w:rsidR="007135E2">
              <w:rPr>
                <w:noProof/>
                <w:color w:val="4F81BD" w:themeColor="accent1"/>
                <w:lang w:val="nl-BE"/>
              </w:rPr>
              <w:fldChar w:fldCharType="begin"/>
            </w:r>
            <w:r w:rsidR="007135E2">
              <w:rPr>
                <w:noProof/>
                <w:color w:val="4F81BD" w:themeColor="accent1"/>
                <w:lang w:val="nl-BE"/>
              </w:rPr>
              <w:instrText xml:space="preserve"> MERGEFIELD  ZH_PARTNER  \* MERGEFORMAT </w:instrText>
            </w:r>
            <w:r w:rsidR="007135E2">
              <w:rPr>
                <w:noProof/>
                <w:color w:val="4F81BD" w:themeColor="accent1"/>
                <w:lang w:val="nl-BE"/>
              </w:rPr>
              <w:fldChar w:fldCharType="separate"/>
            </w:r>
            <w:r w:rsidR="007135E2">
              <w:rPr>
                <w:noProof/>
                <w:color w:val="4F81BD" w:themeColor="accent1"/>
                <w:lang w:val="nl-BE"/>
              </w:rPr>
              <w:t>«ZH_PARTNER»</w:t>
            </w:r>
            <w:r w:rsidR="007135E2">
              <w:rPr>
                <w:noProof/>
                <w:color w:val="4F81BD" w:themeColor="accent1"/>
                <w:lang w:val="nl-BE"/>
              </w:rPr>
              <w:fldChar w:fldCharType="end"/>
            </w:r>
          </w:p>
          <w:p w14:paraId="0C2D2851" w14:textId="77777777" w:rsidR="005F6458" w:rsidRDefault="005F6458" w:rsidP="005F6458">
            <w:pPr>
              <w:pStyle w:val="TableText"/>
              <w:tabs>
                <w:tab w:val="left" w:pos="2265"/>
                <w:tab w:val="right" w:leader="dot" w:pos="8789"/>
              </w:tabs>
              <w:rPr>
                <w:lang w:val="nl-BE"/>
              </w:rPr>
            </w:pPr>
          </w:p>
        </w:tc>
      </w:tr>
      <w:tr w:rsidR="00F70F9E" w:rsidRPr="006B023E" w14:paraId="134BD8EC" w14:textId="77777777">
        <w:tblPrEx>
          <w:tblCellMar>
            <w:left w:w="80" w:type="dxa"/>
            <w:right w:w="80" w:type="dxa"/>
          </w:tblCellMar>
        </w:tblPrEx>
        <w:trPr>
          <w:gridBefore w:val="1"/>
          <w:gridAfter w:val="1"/>
          <w:wBefore w:w="1732" w:type="dxa"/>
          <w:wAfter w:w="8" w:type="dxa"/>
        </w:trPr>
        <w:tc>
          <w:tcPr>
            <w:tcW w:w="7732" w:type="dxa"/>
          </w:tcPr>
          <w:p w14:paraId="60FE3533" w14:textId="77777777" w:rsidR="00F70F9E" w:rsidRDefault="00F70F9E">
            <w:pPr>
              <w:jc w:val="right"/>
              <w:rPr>
                <w:lang w:val="nl-BE"/>
              </w:rPr>
            </w:pPr>
            <w:r>
              <w:rPr>
                <w:lang w:val="nl-BE"/>
              </w:rPr>
              <w:t>hierna “</w:t>
            </w:r>
            <w:r>
              <w:rPr>
                <w:b/>
                <w:bCs/>
                <w:lang w:val="nl-BE"/>
              </w:rPr>
              <w:t>Distributienetgebruiker</w:t>
            </w:r>
            <w:r>
              <w:rPr>
                <w:lang w:val="nl-BE"/>
              </w:rPr>
              <w:t xml:space="preserve">” </w:t>
            </w:r>
            <w:r w:rsidR="00102F5E">
              <w:rPr>
                <w:lang w:val="nl-BE"/>
              </w:rPr>
              <w:t xml:space="preserve">of DNG </w:t>
            </w:r>
            <w:r>
              <w:rPr>
                <w:lang w:val="nl-BE"/>
              </w:rPr>
              <w:t>genoemd</w:t>
            </w:r>
          </w:p>
        </w:tc>
      </w:tr>
      <w:tr w:rsidR="00F70F9E" w:rsidRPr="006B023E" w14:paraId="69834064" w14:textId="77777777">
        <w:tblPrEx>
          <w:tblCellMar>
            <w:left w:w="80" w:type="dxa"/>
            <w:right w:w="80" w:type="dxa"/>
          </w:tblCellMar>
        </w:tblPrEx>
        <w:trPr>
          <w:gridBefore w:val="1"/>
          <w:gridAfter w:val="1"/>
          <w:wBefore w:w="1732" w:type="dxa"/>
          <w:wAfter w:w="8" w:type="dxa"/>
        </w:trPr>
        <w:tc>
          <w:tcPr>
            <w:tcW w:w="7732" w:type="dxa"/>
          </w:tcPr>
          <w:p w14:paraId="5FCD7EB8" w14:textId="77777777" w:rsidR="00F70F9E" w:rsidRDefault="00F70F9E">
            <w:pPr>
              <w:jc w:val="right"/>
              <w:rPr>
                <w:lang w:val="nl-BE"/>
              </w:rPr>
            </w:pPr>
          </w:p>
        </w:tc>
      </w:tr>
      <w:tr w:rsidR="00F70F9E" w:rsidRPr="0058760B" w14:paraId="1A293D45" w14:textId="77777777">
        <w:tblPrEx>
          <w:tblCellMar>
            <w:left w:w="80" w:type="dxa"/>
            <w:right w:w="80" w:type="dxa"/>
          </w:tblCellMar>
        </w:tblPrEx>
        <w:trPr>
          <w:gridBefore w:val="1"/>
          <w:gridAfter w:val="1"/>
          <w:wBefore w:w="1732" w:type="dxa"/>
          <w:wAfter w:w="8" w:type="dxa"/>
          <w:trHeight w:val="80"/>
        </w:trPr>
        <w:tc>
          <w:tcPr>
            <w:tcW w:w="7732" w:type="dxa"/>
          </w:tcPr>
          <w:p w14:paraId="6B4A3D94" w14:textId="77777777" w:rsidR="00F70F9E" w:rsidRDefault="00F70F9E">
            <w:pPr>
              <w:jc w:val="right"/>
              <w:rPr>
                <w:lang w:val="nl-BE"/>
              </w:rPr>
            </w:pPr>
            <w:r>
              <w:rPr>
                <w:lang w:val="nl-BE"/>
              </w:rPr>
              <w:t>enerzijds</w:t>
            </w:r>
          </w:p>
        </w:tc>
      </w:tr>
      <w:tr w:rsidR="00F70F9E" w:rsidRPr="0058760B" w14:paraId="602F0D18" w14:textId="77777777">
        <w:tblPrEx>
          <w:tblCellMar>
            <w:left w:w="80" w:type="dxa"/>
            <w:right w:w="80" w:type="dxa"/>
          </w:tblCellMar>
        </w:tblPrEx>
        <w:trPr>
          <w:gridBefore w:val="1"/>
          <w:gridAfter w:val="1"/>
          <w:wBefore w:w="1732" w:type="dxa"/>
          <w:wAfter w:w="8" w:type="dxa"/>
        </w:trPr>
        <w:tc>
          <w:tcPr>
            <w:tcW w:w="7732" w:type="dxa"/>
            <w:tcBorders>
              <w:bottom w:val="single" w:sz="4" w:space="0" w:color="auto"/>
            </w:tcBorders>
          </w:tcPr>
          <w:p w14:paraId="3B204620" w14:textId="77777777" w:rsidR="00F70F9E" w:rsidRDefault="00F70F9E">
            <w:pPr>
              <w:jc w:val="right"/>
              <w:rPr>
                <w:lang w:val="nl-BE"/>
              </w:rPr>
            </w:pPr>
          </w:p>
        </w:tc>
      </w:tr>
    </w:tbl>
    <w:p w14:paraId="081638E6" w14:textId="77777777" w:rsidR="00F70F9E" w:rsidRDefault="00F70F9E">
      <w:pPr>
        <w:ind w:left="1440"/>
        <w:rPr>
          <w:b/>
          <w:bCs/>
          <w:lang w:val="nl-BE"/>
        </w:rPr>
      </w:pPr>
    </w:p>
    <w:tbl>
      <w:tblPr>
        <w:tblW w:w="9464" w:type="dxa"/>
        <w:tblLayout w:type="fixed"/>
        <w:tblLook w:val="0000" w:firstRow="0" w:lastRow="0" w:firstColumn="0" w:lastColumn="0" w:noHBand="0" w:noVBand="0"/>
      </w:tblPr>
      <w:tblGrid>
        <w:gridCol w:w="1732"/>
        <w:gridCol w:w="7732"/>
      </w:tblGrid>
      <w:tr w:rsidR="00F70F9E" w:rsidRPr="006B023E" w14:paraId="1F0B9960" w14:textId="77777777">
        <w:tc>
          <w:tcPr>
            <w:tcW w:w="1732" w:type="dxa"/>
          </w:tcPr>
          <w:p w14:paraId="5791879A" w14:textId="77777777" w:rsidR="00F70F9E" w:rsidRDefault="00F70F9E">
            <w:pPr>
              <w:pStyle w:val="Kop5"/>
              <w:rPr>
                <w:lang w:val="nl-BE"/>
              </w:rPr>
            </w:pPr>
            <w:r>
              <w:rPr>
                <w:lang w:val="nl-BE"/>
              </w:rPr>
              <w:t>En</w:t>
            </w:r>
          </w:p>
        </w:tc>
        <w:tc>
          <w:tcPr>
            <w:tcW w:w="7732" w:type="dxa"/>
          </w:tcPr>
          <w:p w14:paraId="6C35399B" w14:textId="27E1466D" w:rsidR="00B77EC6" w:rsidRPr="00B77EC6" w:rsidRDefault="002F42DC" w:rsidP="00B77EC6">
            <w:pPr>
              <w:pStyle w:val="Bloktekst"/>
              <w:jc w:val="both"/>
              <w:rPr>
                <w:lang w:val="nl-BE"/>
              </w:rPr>
            </w:pPr>
            <w:r>
              <w:rPr>
                <w:noProof/>
                <w:color w:val="4F81BD" w:themeColor="accent1"/>
                <w:lang w:val="nl-BE"/>
              </w:rPr>
              <w:fldChar w:fldCharType="begin"/>
            </w:r>
            <w:r>
              <w:rPr>
                <w:noProof/>
                <w:color w:val="4F81BD" w:themeColor="accent1"/>
                <w:lang w:val="nl-BE"/>
              </w:rPr>
              <w:instrText xml:space="preserve"> MERGEFIELD  DNB_NAAM  \* MERGEFORMAT </w:instrText>
            </w:r>
            <w:r>
              <w:rPr>
                <w:noProof/>
                <w:color w:val="4F81BD" w:themeColor="accent1"/>
                <w:lang w:val="nl-BE"/>
              </w:rPr>
              <w:fldChar w:fldCharType="separate"/>
            </w:r>
            <w:r>
              <w:rPr>
                <w:noProof/>
                <w:color w:val="4F81BD" w:themeColor="accent1"/>
                <w:lang w:val="nl-BE"/>
              </w:rPr>
              <w:t>«DNB_NAAM»</w:t>
            </w:r>
            <w:r>
              <w:rPr>
                <w:noProof/>
                <w:color w:val="4F81BD" w:themeColor="accent1"/>
                <w:lang w:val="nl-BE"/>
              </w:rPr>
              <w:fldChar w:fldCharType="end"/>
            </w:r>
            <w:r w:rsidR="00B77EC6" w:rsidRPr="00B77EC6">
              <w:rPr>
                <w:lang w:val="nl-BE"/>
              </w:rPr>
              <w:t xml:space="preserve">, </w:t>
            </w:r>
            <w:proofErr w:type="spellStart"/>
            <w:r w:rsidR="00B77EC6" w:rsidRPr="00B77EC6">
              <w:rPr>
                <w:lang w:val="nl-BE"/>
              </w:rPr>
              <w:t>opdrachthoudende</w:t>
            </w:r>
            <w:proofErr w:type="spellEnd"/>
            <w:r w:rsidR="00B77EC6" w:rsidRPr="00B77EC6">
              <w:rPr>
                <w:lang w:val="nl-BE"/>
              </w:rPr>
              <w:t xml:space="preserve"> vereniging.</w:t>
            </w:r>
          </w:p>
          <w:p w14:paraId="50EFE758" w14:textId="7A0AEC51" w:rsidR="00B77EC6" w:rsidRPr="00B77EC6" w:rsidRDefault="00B77EC6" w:rsidP="00B77EC6">
            <w:pPr>
              <w:pStyle w:val="Bloktekst"/>
              <w:jc w:val="both"/>
              <w:rPr>
                <w:rFonts w:cs="Arial"/>
                <w:color w:val="4F81BD" w:themeColor="accent1"/>
                <w:lang w:val="nl-BE"/>
              </w:rPr>
            </w:pPr>
            <w:r w:rsidRPr="00B77EC6">
              <w:rPr>
                <w:rFonts w:cs="Arial"/>
                <w:lang w:val="nl-BE"/>
              </w:rPr>
              <w:t xml:space="preserve">Maatschappelijke zetel: </w:t>
            </w:r>
            <w:r w:rsidR="002F42DC">
              <w:rPr>
                <w:noProof/>
                <w:color w:val="4F81BD" w:themeColor="accent1"/>
                <w:lang w:val="nl-BE"/>
              </w:rPr>
              <w:fldChar w:fldCharType="begin"/>
            </w:r>
            <w:r w:rsidR="002F42DC">
              <w:rPr>
                <w:noProof/>
                <w:color w:val="4F81BD" w:themeColor="accent1"/>
                <w:lang w:val="nl-BE"/>
              </w:rPr>
              <w:instrText xml:space="preserve"> MERGEFIELD  DNB_ADRES  \* MERGEFORMAT </w:instrText>
            </w:r>
            <w:r w:rsidR="002F42DC">
              <w:rPr>
                <w:noProof/>
                <w:color w:val="4F81BD" w:themeColor="accent1"/>
                <w:lang w:val="nl-BE"/>
              </w:rPr>
              <w:fldChar w:fldCharType="separate"/>
            </w:r>
            <w:r w:rsidR="002F42DC">
              <w:rPr>
                <w:noProof/>
                <w:color w:val="4F81BD" w:themeColor="accent1"/>
                <w:lang w:val="nl-BE"/>
              </w:rPr>
              <w:t>«DNB_ADRES»</w:t>
            </w:r>
            <w:r w:rsidR="002F42DC">
              <w:rPr>
                <w:noProof/>
                <w:color w:val="4F81BD" w:themeColor="accent1"/>
                <w:lang w:val="nl-BE"/>
              </w:rPr>
              <w:fldChar w:fldCharType="end"/>
            </w:r>
          </w:p>
          <w:p w14:paraId="1E8AF483" w14:textId="240917A1" w:rsidR="00B77EC6" w:rsidRPr="00B77EC6" w:rsidRDefault="00B77EC6" w:rsidP="00B77EC6">
            <w:pPr>
              <w:pStyle w:val="Bloktekst"/>
              <w:jc w:val="both"/>
              <w:rPr>
                <w:rFonts w:cs="Arial"/>
                <w:lang w:val="nl-BE"/>
              </w:rPr>
            </w:pPr>
            <w:r w:rsidRPr="00B77EC6">
              <w:rPr>
                <w:rFonts w:cs="Arial"/>
                <w:lang w:val="nl-BE"/>
              </w:rPr>
              <w:t xml:space="preserve">BTW: </w:t>
            </w:r>
            <w:r w:rsidR="002F42DC">
              <w:rPr>
                <w:noProof/>
                <w:color w:val="4F81BD" w:themeColor="accent1"/>
                <w:lang w:val="nl-BE"/>
              </w:rPr>
              <w:fldChar w:fldCharType="begin"/>
            </w:r>
            <w:r w:rsidR="002F42DC">
              <w:rPr>
                <w:noProof/>
                <w:color w:val="4F81BD" w:themeColor="accent1"/>
                <w:lang w:val="nl-BE"/>
              </w:rPr>
              <w:instrText xml:space="preserve"> MERGEFIELD  DNB_BTW  \* MERGEFORMAT </w:instrText>
            </w:r>
            <w:r w:rsidR="002F42DC">
              <w:rPr>
                <w:noProof/>
                <w:color w:val="4F81BD" w:themeColor="accent1"/>
                <w:lang w:val="nl-BE"/>
              </w:rPr>
              <w:fldChar w:fldCharType="separate"/>
            </w:r>
            <w:r w:rsidR="002F42DC">
              <w:rPr>
                <w:noProof/>
                <w:color w:val="4F81BD" w:themeColor="accent1"/>
                <w:lang w:val="nl-BE"/>
              </w:rPr>
              <w:t>«DNB_BTW»</w:t>
            </w:r>
            <w:r w:rsidR="002F42DC">
              <w:rPr>
                <w:noProof/>
                <w:color w:val="4F81BD" w:themeColor="accent1"/>
                <w:lang w:val="nl-BE"/>
              </w:rPr>
              <w:fldChar w:fldCharType="end"/>
            </w:r>
            <w:r w:rsidR="002F42DC">
              <w:rPr>
                <w:noProof/>
                <w:color w:val="4F81BD" w:themeColor="accent1"/>
                <w:lang w:val="nl-BE"/>
              </w:rPr>
              <w:t xml:space="preserve">- </w:t>
            </w:r>
            <w:r w:rsidR="002F42DC">
              <w:rPr>
                <w:noProof/>
                <w:color w:val="4F81BD" w:themeColor="accent1"/>
                <w:lang w:val="nl-BE"/>
              </w:rPr>
              <w:fldChar w:fldCharType="begin"/>
            </w:r>
            <w:r w:rsidR="002F42DC">
              <w:rPr>
                <w:noProof/>
                <w:color w:val="4F81BD" w:themeColor="accent1"/>
                <w:lang w:val="nl-BE"/>
              </w:rPr>
              <w:instrText xml:space="preserve"> MERGEFIELD  HANDELSREGISTER  \* MERGEFORMAT </w:instrText>
            </w:r>
            <w:r w:rsidR="002F42DC">
              <w:rPr>
                <w:noProof/>
                <w:color w:val="4F81BD" w:themeColor="accent1"/>
                <w:lang w:val="nl-BE"/>
              </w:rPr>
              <w:fldChar w:fldCharType="separate"/>
            </w:r>
            <w:r w:rsidR="002F42DC">
              <w:rPr>
                <w:noProof/>
                <w:color w:val="4F81BD" w:themeColor="accent1"/>
                <w:lang w:val="nl-BE"/>
              </w:rPr>
              <w:t>«HANDELSREGISTER»</w:t>
            </w:r>
            <w:r w:rsidR="002F42DC">
              <w:rPr>
                <w:noProof/>
                <w:color w:val="4F81BD" w:themeColor="accent1"/>
                <w:lang w:val="nl-BE"/>
              </w:rPr>
              <w:fldChar w:fldCharType="end"/>
            </w:r>
          </w:p>
          <w:p w14:paraId="77587407" w14:textId="77777777" w:rsidR="00642440" w:rsidRPr="00656336" w:rsidRDefault="00642440" w:rsidP="00656336">
            <w:pPr>
              <w:pStyle w:val="Bloktekst"/>
              <w:jc w:val="both"/>
              <w:rPr>
                <w:lang w:val="nl-BE"/>
              </w:rPr>
            </w:pPr>
          </w:p>
          <w:p w14:paraId="3A991D73" w14:textId="374321EE" w:rsidR="00DE55F6" w:rsidRDefault="00DE55F6" w:rsidP="005F6458">
            <w:pPr>
              <w:pStyle w:val="TOCStem"/>
              <w:rPr>
                <w:lang w:val="nl-BE"/>
              </w:rPr>
            </w:pPr>
            <w:r>
              <w:rPr>
                <w:lang w:val="nl-BE"/>
              </w:rPr>
              <w:t xml:space="preserve">Vertegenwoordigd door: </w:t>
            </w:r>
            <w:r w:rsidR="002F42DC">
              <w:rPr>
                <w:noProof/>
                <w:color w:val="4F81BD" w:themeColor="accent1"/>
                <w:lang w:val="nl-BE"/>
              </w:rPr>
              <w:fldChar w:fldCharType="begin"/>
            </w:r>
            <w:r w:rsidR="002F42DC">
              <w:rPr>
                <w:noProof/>
                <w:color w:val="4F81BD" w:themeColor="accent1"/>
                <w:lang w:val="nl-BE"/>
              </w:rPr>
              <w:instrText xml:space="preserve"> MERGEFIELD  ZC_PARTNER  \* MERGEFORMAT </w:instrText>
            </w:r>
            <w:r w:rsidR="002F42DC">
              <w:rPr>
                <w:noProof/>
                <w:color w:val="4F81BD" w:themeColor="accent1"/>
                <w:lang w:val="nl-BE"/>
              </w:rPr>
              <w:fldChar w:fldCharType="separate"/>
            </w:r>
            <w:r w:rsidR="002F42DC">
              <w:rPr>
                <w:noProof/>
                <w:color w:val="4F81BD" w:themeColor="accent1"/>
                <w:lang w:val="nl-BE"/>
              </w:rPr>
              <w:t>«ZC_PARTNER»</w:t>
            </w:r>
            <w:r w:rsidR="002F42DC">
              <w:rPr>
                <w:noProof/>
                <w:color w:val="4F81BD" w:themeColor="accent1"/>
                <w:lang w:val="nl-BE"/>
              </w:rPr>
              <w:fldChar w:fldCharType="end"/>
            </w:r>
            <w:r>
              <w:rPr>
                <w:lang w:val="nl-BE"/>
              </w:rPr>
              <w:t xml:space="preserve"> en </w:t>
            </w:r>
            <w:r w:rsidR="002F42DC">
              <w:rPr>
                <w:noProof/>
                <w:color w:val="4F81BD" w:themeColor="accent1"/>
                <w:lang w:val="nl-BE"/>
              </w:rPr>
              <w:fldChar w:fldCharType="begin"/>
            </w:r>
            <w:r w:rsidR="002F42DC">
              <w:rPr>
                <w:noProof/>
                <w:color w:val="4F81BD" w:themeColor="accent1"/>
                <w:lang w:val="nl-BE"/>
              </w:rPr>
              <w:instrText xml:space="preserve"> MERGEFIELD  INFRAHOOFD  \* MERGEFORMAT </w:instrText>
            </w:r>
            <w:r w:rsidR="002F42DC">
              <w:rPr>
                <w:noProof/>
                <w:color w:val="4F81BD" w:themeColor="accent1"/>
                <w:lang w:val="nl-BE"/>
              </w:rPr>
              <w:fldChar w:fldCharType="separate"/>
            </w:r>
            <w:r w:rsidR="002F42DC">
              <w:rPr>
                <w:noProof/>
                <w:color w:val="4F81BD" w:themeColor="accent1"/>
                <w:lang w:val="nl-BE"/>
              </w:rPr>
              <w:t>«INFRAHOOFD»</w:t>
            </w:r>
            <w:r w:rsidR="002F42DC">
              <w:rPr>
                <w:noProof/>
                <w:color w:val="4F81BD" w:themeColor="accent1"/>
                <w:lang w:val="nl-BE"/>
              </w:rPr>
              <w:fldChar w:fldCharType="end"/>
            </w:r>
            <w:r>
              <w:rPr>
                <w:lang w:val="nl-BE"/>
              </w:rPr>
              <w:t>, gevolmachtigden</w:t>
            </w:r>
          </w:p>
        </w:tc>
      </w:tr>
      <w:tr w:rsidR="00F70F9E" w:rsidRPr="006B023E" w14:paraId="10AFC896" w14:textId="77777777">
        <w:tblPrEx>
          <w:tblCellMar>
            <w:left w:w="80" w:type="dxa"/>
            <w:right w:w="80" w:type="dxa"/>
          </w:tblCellMar>
        </w:tblPrEx>
        <w:trPr>
          <w:gridBefore w:val="1"/>
          <w:wBefore w:w="1732" w:type="dxa"/>
        </w:trPr>
        <w:tc>
          <w:tcPr>
            <w:tcW w:w="7732" w:type="dxa"/>
          </w:tcPr>
          <w:p w14:paraId="1B07AE20" w14:textId="77777777" w:rsidR="00F70F9E" w:rsidRDefault="00F70F9E">
            <w:pPr>
              <w:jc w:val="right"/>
              <w:rPr>
                <w:lang w:val="nl-BE"/>
              </w:rPr>
            </w:pPr>
          </w:p>
        </w:tc>
      </w:tr>
      <w:tr w:rsidR="00F70F9E" w:rsidRPr="006B023E" w14:paraId="48677BDC" w14:textId="77777777">
        <w:tblPrEx>
          <w:tblCellMar>
            <w:left w:w="80" w:type="dxa"/>
            <w:right w:w="80" w:type="dxa"/>
          </w:tblCellMar>
        </w:tblPrEx>
        <w:trPr>
          <w:gridBefore w:val="1"/>
          <w:wBefore w:w="1732" w:type="dxa"/>
        </w:trPr>
        <w:tc>
          <w:tcPr>
            <w:tcW w:w="7732" w:type="dxa"/>
          </w:tcPr>
          <w:p w14:paraId="42AED67E" w14:textId="77777777" w:rsidR="00F70F9E" w:rsidRDefault="00F70F9E">
            <w:pPr>
              <w:jc w:val="right"/>
              <w:rPr>
                <w:lang w:val="nl-BE"/>
              </w:rPr>
            </w:pPr>
            <w:r>
              <w:rPr>
                <w:lang w:val="nl-BE"/>
              </w:rPr>
              <w:t>hierna “</w:t>
            </w:r>
            <w:r>
              <w:rPr>
                <w:b/>
                <w:bCs/>
                <w:lang w:val="nl-BE"/>
              </w:rPr>
              <w:t>Distributienetbeheerder</w:t>
            </w:r>
            <w:r>
              <w:rPr>
                <w:lang w:val="nl-BE"/>
              </w:rPr>
              <w:t xml:space="preserve">” </w:t>
            </w:r>
            <w:r w:rsidR="00102F5E">
              <w:rPr>
                <w:lang w:val="nl-BE"/>
              </w:rPr>
              <w:t xml:space="preserve">of DNB </w:t>
            </w:r>
            <w:r>
              <w:rPr>
                <w:lang w:val="nl-BE"/>
              </w:rPr>
              <w:t>genoemd</w:t>
            </w:r>
          </w:p>
        </w:tc>
      </w:tr>
      <w:tr w:rsidR="00F70F9E" w:rsidRPr="006B023E" w14:paraId="4D3F5ADD" w14:textId="77777777">
        <w:tblPrEx>
          <w:tblCellMar>
            <w:left w:w="80" w:type="dxa"/>
            <w:right w:w="80" w:type="dxa"/>
          </w:tblCellMar>
        </w:tblPrEx>
        <w:trPr>
          <w:gridBefore w:val="1"/>
          <w:wBefore w:w="1732" w:type="dxa"/>
        </w:trPr>
        <w:tc>
          <w:tcPr>
            <w:tcW w:w="7732" w:type="dxa"/>
          </w:tcPr>
          <w:p w14:paraId="450789D4" w14:textId="77777777" w:rsidR="00F70F9E" w:rsidRDefault="00F70F9E">
            <w:pPr>
              <w:jc w:val="right"/>
              <w:rPr>
                <w:lang w:val="nl-BE"/>
              </w:rPr>
            </w:pPr>
          </w:p>
        </w:tc>
      </w:tr>
      <w:tr w:rsidR="00F70F9E" w:rsidRPr="00DE55F6" w14:paraId="5FB5FFF1" w14:textId="77777777">
        <w:tblPrEx>
          <w:tblCellMar>
            <w:left w:w="80" w:type="dxa"/>
            <w:right w:w="80" w:type="dxa"/>
          </w:tblCellMar>
        </w:tblPrEx>
        <w:trPr>
          <w:gridBefore w:val="1"/>
          <w:wBefore w:w="1732" w:type="dxa"/>
        </w:trPr>
        <w:tc>
          <w:tcPr>
            <w:tcW w:w="7732" w:type="dxa"/>
          </w:tcPr>
          <w:p w14:paraId="128DA9C1" w14:textId="77777777" w:rsidR="00F70F9E" w:rsidRDefault="00F70F9E">
            <w:pPr>
              <w:jc w:val="right"/>
              <w:rPr>
                <w:lang w:val="nl-BE"/>
              </w:rPr>
            </w:pPr>
            <w:r>
              <w:rPr>
                <w:lang w:val="nl-BE"/>
              </w:rPr>
              <w:t>anderzijds</w:t>
            </w:r>
          </w:p>
        </w:tc>
      </w:tr>
      <w:tr w:rsidR="00F70F9E" w:rsidRPr="00DE55F6" w14:paraId="07BCFD37" w14:textId="77777777">
        <w:tblPrEx>
          <w:tblCellMar>
            <w:left w:w="80" w:type="dxa"/>
            <w:right w:w="80" w:type="dxa"/>
          </w:tblCellMar>
        </w:tblPrEx>
        <w:trPr>
          <w:gridBefore w:val="1"/>
          <w:wBefore w:w="1732" w:type="dxa"/>
        </w:trPr>
        <w:tc>
          <w:tcPr>
            <w:tcW w:w="7732" w:type="dxa"/>
            <w:tcBorders>
              <w:bottom w:val="single" w:sz="4" w:space="0" w:color="auto"/>
            </w:tcBorders>
          </w:tcPr>
          <w:p w14:paraId="6428AE8B" w14:textId="77777777" w:rsidR="00F70F9E" w:rsidRDefault="00F70F9E">
            <w:pPr>
              <w:jc w:val="right"/>
              <w:rPr>
                <w:lang w:val="nl-BE"/>
              </w:rPr>
            </w:pPr>
          </w:p>
        </w:tc>
      </w:tr>
    </w:tbl>
    <w:p w14:paraId="784ADDFA" w14:textId="77777777" w:rsidR="00F70F9E" w:rsidRDefault="00F70F9E">
      <w:pPr>
        <w:rPr>
          <w:b/>
          <w:bCs/>
          <w:lang w:val="nl-BE"/>
        </w:rPr>
      </w:pPr>
    </w:p>
    <w:tbl>
      <w:tblPr>
        <w:tblW w:w="9468" w:type="dxa"/>
        <w:tblLayout w:type="fixed"/>
        <w:tblLook w:val="0000" w:firstRow="0" w:lastRow="0" w:firstColumn="0" w:lastColumn="0" w:noHBand="0" w:noVBand="0"/>
      </w:tblPr>
      <w:tblGrid>
        <w:gridCol w:w="9468"/>
      </w:tblGrid>
      <w:tr w:rsidR="00F70F9E" w14:paraId="02F41CBC" w14:textId="77777777">
        <w:tc>
          <w:tcPr>
            <w:tcW w:w="9464" w:type="dxa"/>
          </w:tcPr>
          <w:p w14:paraId="6B32A618" w14:textId="77777777" w:rsidR="00F70F9E" w:rsidRDefault="00656336">
            <w:pPr>
              <w:jc w:val="both"/>
              <w:rPr>
                <w:lang w:val="nl-BE"/>
              </w:rPr>
            </w:pPr>
            <w:r>
              <w:rPr>
                <w:lang w:val="nl-BE"/>
              </w:rPr>
              <w:t>e</w:t>
            </w:r>
            <w:r w:rsidR="00F70F9E">
              <w:rPr>
                <w:lang w:val="nl-BE"/>
              </w:rPr>
              <w:t>n hierna beiden zonder onderscheid ook “Partij” en gezamenlijk ook “Partijen” genoemd</w:t>
            </w:r>
          </w:p>
          <w:p w14:paraId="111AE4AD" w14:textId="77777777" w:rsidR="00F70F9E" w:rsidRDefault="00F70F9E">
            <w:pPr>
              <w:ind w:left="567" w:hanging="567"/>
              <w:jc w:val="both"/>
              <w:rPr>
                <w:lang w:val="nl-BE"/>
              </w:rPr>
            </w:pPr>
          </w:p>
          <w:p w14:paraId="4FC3815C" w14:textId="77777777" w:rsidR="00F70F9E" w:rsidRDefault="00F70F9E">
            <w:pPr>
              <w:ind w:left="567" w:hanging="567"/>
              <w:jc w:val="both"/>
              <w:rPr>
                <w:lang w:val="nl-BE"/>
              </w:rPr>
            </w:pPr>
            <w:r>
              <w:rPr>
                <w:lang w:val="nl-BE"/>
              </w:rPr>
              <w:t>overwegende</w:t>
            </w:r>
          </w:p>
          <w:p w14:paraId="1A468F53" w14:textId="3EFACFF5" w:rsidR="00F70F9E" w:rsidRPr="00656336" w:rsidRDefault="00F70F9E" w:rsidP="008F61D1">
            <w:pPr>
              <w:pStyle w:val="Lijstalinea"/>
              <w:numPr>
                <w:ilvl w:val="0"/>
                <w:numId w:val="3"/>
              </w:numPr>
              <w:jc w:val="both"/>
              <w:rPr>
                <w:lang w:val="nl-BE"/>
              </w:rPr>
            </w:pPr>
            <w:r w:rsidRPr="00656336">
              <w:rPr>
                <w:lang w:val="nl-BE"/>
              </w:rPr>
              <w:t>dat D</w:t>
            </w:r>
            <w:r w:rsidR="00656336" w:rsidRPr="00656336">
              <w:rPr>
                <w:lang w:val="nl-BE"/>
              </w:rPr>
              <w:t>NB</w:t>
            </w:r>
            <w:r w:rsidRPr="00656336">
              <w:rPr>
                <w:lang w:val="nl-BE"/>
              </w:rPr>
              <w:t xml:space="preserve"> de beheerder is van het </w:t>
            </w:r>
            <w:r w:rsidR="00656336" w:rsidRPr="00656336">
              <w:rPr>
                <w:lang w:val="nl-BE"/>
              </w:rPr>
              <w:t>A</w:t>
            </w:r>
            <w:r w:rsidR="002555C8" w:rsidRPr="00656336">
              <w:rPr>
                <w:lang w:val="nl-BE"/>
              </w:rPr>
              <w:t>ardgas</w:t>
            </w:r>
            <w:r w:rsidRPr="00656336">
              <w:rPr>
                <w:lang w:val="nl-BE"/>
              </w:rPr>
              <w:t>distributienet</w:t>
            </w:r>
            <w:r w:rsidR="00656336" w:rsidRPr="00656336">
              <w:rPr>
                <w:lang w:val="nl-BE"/>
              </w:rPr>
              <w:t>;</w:t>
            </w:r>
          </w:p>
          <w:p w14:paraId="1FF52205" w14:textId="77777777" w:rsidR="00656336" w:rsidRPr="00656336" w:rsidRDefault="00656336" w:rsidP="00656336">
            <w:pPr>
              <w:pStyle w:val="Lijstalinea"/>
              <w:ind w:left="930"/>
              <w:jc w:val="both"/>
              <w:rPr>
                <w:lang w:val="nl-BE"/>
              </w:rPr>
            </w:pPr>
          </w:p>
          <w:p w14:paraId="1A26DC81" w14:textId="77777777" w:rsidR="00F70F9E" w:rsidRPr="00656336" w:rsidRDefault="00F70F9E" w:rsidP="008F61D1">
            <w:pPr>
              <w:pStyle w:val="Lijstalinea"/>
              <w:numPr>
                <w:ilvl w:val="0"/>
                <w:numId w:val="3"/>
              </w:numPr>
              <w:rPr>
                <w:lang w:val="nl-BE"/>
              </w:rPr>
            </w:pPr>
            <w:r w:rsidRPr="00656336">
              <w:rPr>
                <w:lang w:val="nl-BE"/>
              </w:rPr>
              <w:t>dat D</w:t>
            </w:r>
            <w:r w:rsidR="00656336" w:rsidRPr="00656336">
              <w:rPr>
                <w:lang w:val="nl-BE"/>
              </w:rPr>
              <w:t>NB</w:t>
            </w:r>
            <w:r w:rsidRPr="00656336">
              <w:rPr>
                <w:lang w:val="nl-BE"/>
              </w:rPr>
              <w:t xml:space="preserve"> werd aangeduid door de VREG als Distributienetbeheerder en zijn werkingsgebied</w:t>
            </w:r>
            <w:r w:rsidR="00656336">
              <w:rPr>
                <w:lang w:val="nl-BE"/>
              </w:rPr>
              <w:t>;</w:t>
            </w:r>
          </w:p>
          <w:p w14:paraId="5FE60DAA" w14:textId="77777777" w:rsidR="00656336" w:rsidRPr="00656336" w:rsidRDefault="00656336" w:rsidP="00656336">
            <w:pPr>
              <w:pStyle w:val="Lijstalinea"/>
              <w:rPr>
                <w:lang w:val="nl-BE"/>
              </w:rPr>
            </w:pPr>
          </w:p>
          <w:p w14:paraId="17A71391" w14:textId="32E4940B" w:rsidR="00F70F9E" w:rsidRPr="00656336" w:rsidRDefault="00F70F9E" w:rsidP="008F61D1">
            <w:pPr>
              <w:pStyle w:val="Lijstalinea"/>
              <w:numPr>
                <w:ilvl w:val="0"/>
                <w:numId w:val="3"/>
              </w:numPr>
              <w:rPr>
                <w:lang w:val="nl-BE"/>
              </w:rPr>
            </w:pPr>
            <w:r w:rsidRPr="00656336">
              <w:rPr>
                <w:lang w:val="nl-BE"/>
              </w:rPr>
              <w:t>dat de D</w:t>
            </w:r>
            <w:r w:rsidR="00656336" w:rsidRPr="00656336">
              <w:rPr>
                <w:lang w:val="nl-BE"/>
              </w:rPr>
              <w:t>N</w:t>
            </w:r>
            <w:r w:rsidR="00515786">
              <w:rPr>
                <w:lang w:val="nl-BE"/>
              </w:rPr>
              <w:t>G</w:t>
            </w:r>
            <w:r w:rsidR="00656336" w:rsidRPr="00656336">
              <w:rPr>
                <w:lang w:val="nl-BE"/>
              </w:rPr>
              <w:t xml:space="preserve"> een</w:t>
            </w:r>
            <w:r w:rsidRPr="00656336">
              <w:rPr>
                <w:lang w:val="nl-BE"/>
              </w:rPr>
              <w:t xml:space="preserve"> </w:t>
            </w:r>
            <w:r w:rsidR="00656336" w:rsidRPr="00656336">
              <w:rPr>
                <w:lang w:val="nl-BE"/>
              </w:rPr>
              <w:t>A</w:t>
            </w:r>
            <w:r w:rsidRPr="00656336">
              <w:rPr>
                <w:lang w:val="nl-BE"/>
              </w:rPr>
              <w:t xml:space="preserve">ansluiting op het </w:t>
            </w:r>
            <w:r w:rsidR="00656336" w:rsidRPr="00656336">
              <w:rPr>
                <w:lang w:val="nl-BE"/>
              </w:rPr>
              <w:t>D</w:t>
            </w:r>
            <w:r w:rsidRPr="00656336">
              <w:rPr>
                <w:lang w:val="nl-BE"/>
              </w:rPr>
              <w:t xml:space="preserve">istributienet wenst te bekomen voor de afname </w:t>
            </w:r>
            <w:r w:rsidR="00B25795">
              <w:rPr>
                <w:lang w:val="nl-BE"/>
              </w:rPr>
              <w:t xml:space="preserve">van aardgas, </w:t>
            </w:r>
            <w:r w:rsidR="00BA3827" w:rsidRPr="00656336">
              <w:rPr>
                <w:lang w:val="nl-BE"/>
              </w:rPr>
              <w:t xml:space="preserve"> </w:t>
            </w:r>
            <w:r w:rsidRPr="00656336">
              <w:rPr>
                <w:lang w:val="nl-BE"/>
              </w:rPr>
              <w:t>zoals bepaald in dit contract</w:t>
            </w:r>
          </w:p>
          <w:p w14:paraId="7FA66F39" w14:textId="77777777" w:rsidR="00656336" w:rsidRPr="00656336" w:rsidRDefault="00656336" w:rsidP="00656336">
            <w:pPr>
              <w:pStyle w:val="Lijstalinea"/>
              <w:rPr>
                <w:lang w:val="nl-BE"/>
              </w:rPr>
            </w:pPr>
          </w:p>
          <w:p w14:paraId="2F05DDD6" w14:textId="77777777" w:rsidR="00F70F9E" w:rsidRDefault="00F70F9E">
            <w:pPr>
              <w:ind w:left="567" w:hanging="567"/>
              <w:rPr>
                <w:lang w:val="nl-BE"/>
              </w:rPr>
            </w:pPr>
          </w:p>
          <w:p w14:paraId="0F1C2599" w14:textId="77777777" w:rsidR="00656336" w:rsidRDefault="00656336">
            <w:pPr>
              <w:ind w:left="567" w:hanging="567"/>
              <w:rPr>
                <w:lang w:val="nl-BE"/>
              </w:rPr>
            </w:pPr>
          </w:p>
          <w:p w14:paraId="45DB23AA" w14:textId="77777777" w:rsidR="00F70F9E" w:rsidRDefault="00F70F9E">
            <w:pPr>
              <w:ind w:left="567" w:hanging="567"/>
              <w:rPr>
                <w:lang w:val="nl-BE"/>
              </w:rPr>
            </w:pPr>
            <w:r>
              <w:rPr>
                <w:lang w:val="nl-BE"/>
              </w:rPr>
              <w:t>wordt overeengekomen wat volgt:</w:t>
            </w:r>
          </w:p>
        </w:tc>
      </w:tr>
    </w:tbl>
    <w:p w14:paraId="69FF01F4" w14:textId="77777777" w:rsidR="00F70F9E" w:rsidRDefault="00F70F9E">
      <w:pPr>
        <w:ind w:left="1701"/>
        <w:rPr>
          <w:lang w:val="nl-BE"/>
        </w:rPr>
      </w:pPr>
    </w:p>
    <w:p w14:paraId="76FAED8B" w14:textId="77777777" w:rsidR="00F70F9E" w:rsidRDefault="00F70F9E">
      <w:pPr>
        <w:pStyle w:val="TableText"/>
        <w:rPr>
          <w:sz w:val="22"/>
          <w:lang w:val="nl-BE"/>
        </w:rPr>
      </w:pPr>
      <w:r>
        <w:rPr>
          <w:lang w:val="nl-BE"/>
        </w:rPr>
        <w:br w:type="page"/>
      </w:r>
    </w:p>
    <w:p w14:paraId="1377E0AA" w14:textId="77777777" w:rsidR="002B7FCE" w:rsidRPr="00656336" w:rsidRDefault="002B7FCE" w:rsidP="008F61D1">
      <w:pPr>
        <w:pStyle w:val="Kop2"/>
        <w:numPr>
          <w:ilvl w:val="0"/>
          <w:numId w:val="2"/>
        </w:numPr>
        <w:shd w:val="clear" w:color="auto" w:fill="BFBFBF" w:themeFill="background1" w:themeFillShade="BF"/>
        <w:ind w:left="919" w:hanging="1146"/>
        <w:jc w:val="left"/>
        <w:rPr>
          <w:sz w:val="24"/>
          <w:lang w:val="nl-BE"/>
        </w:rPr>
      </w:pPr>
      <w:r>
        <w:rPr>
          <w:sz w:val="24"/>
          <w:lang w:val="nl-BE"/>
        </w:rPr>
        <w:lastRenderedPageBreak/>
        <w:t>Voorwerp</w:t>
      </w:r>
      <w:r w:rsidR="00656336">
        <w:rPr>
          <w:sz w:val="24"/>
          <w:lang w:val="nl-BE"/>
        </w:rPr>
        <w:t xml:space="preserve"> van dit contract</w:t>
      </w:r>
    </w:p>
    <w:p w14:paraId="78F29446" w14:textId="77777777" w:rsidR="00656336" w:rsidRDefault="00656336" w:rsidP="00656336">
      <w:proofErr w:type="spellStart"/>
      <w:r>
        <w:t>Dit</w:t>
      </w:r>
      <w:proofErr w:type="spellEnd"/>
      <w:r>
        <w:t xml:space="preserve"> contract </w:t>
      </w:r>
    </w:p>
    <w:p w14:paraId="0D2F3C51" w14:textId="77777777" w:rsidR="00656336" w:rsidRDefault="00656336" w:rsidP="00656336"/>
    <w:p w14:paraId="68299EB4" w14:textId="0FFEE31F" w:rsidR="00656336" w:rsidRPr="00656336" w:rsidRDefault="00656336" w:rsidP="008F61D1">
      <w:pPr>
        <w:pStyle w:val="Lijstalinea"/>
        <w:numPr>
          <w:ilvl w:val="0"/>
          <w:numId w:val="4"/>
        </w:numPr>
        <w:rPr>
          <w:lang w:val="nl-BE"/>
        </w:rPr>
      </w:pPr>
      <w:r w:rsidRPr="00656336">
        <w:rPr>
          <w:lang w:val="nl-BE"/>
        </w:rPr>
        <w:t xml:space="preserve">omschrijft de Aansluiting op het </w:t>
      </w:r>
      <w:r>
        <w:rPr>
          <w:lang w:val="nl-BE"/>
        </w:rPr>
        <w:t>Aardgas</w:t>
      </w:r>
      <w:r w:rsidRPr="00656336">
        <w:rPr>
          <w:lang w:val="nl-BE"/>
        </w:rPr>
        <w:t>distributienet</w:t>
      </w:r>
      <w:r w:rsidR="00147C94">
        <w:rPr>
          <w:lang w:val="nl-BE"/>
        </w:rPr>
        <w:t xml:space="preserve"> </w:t>
      </w:r>
      <w:r w:rsidRPr="00656336">
        <w:rPr>
          <w:lang w:val="nl-BE"/>
        </w:rPr>
        <w:t>en de installaties van de Netgebruiker die een invloed kunnen hebben op de veiligheid, betrouwbaarheid en/of efficiëntie van het Distributienet;</w:t>
      </w:r>
    </w:p>
    <w:p w14:paraId="1FBA50D6" w14:textId="77777777" w:rsidR="00656336" w:rsidRPr="00656336" w:rsidRDefault="00656336" w:rsidP="00656336">
      <w:pPr>
        <w:pStyle w:val="Lijstalinea"/>
        <w:rPr>
          <w:lang w:val="nl-BE"/>
        </w:rPr>
      </w:pPr>
    </w:p>
    <w:p w14:paraId="49BBD55E" w14:textId="77777777" w:rsidR="00656336" w:rsidRDefault="00656336" w:rsidP="008F61D1">
      <w:pPr>
        <w:pStyle w:val="Lijstalinea"/>
        <w:numPr>
          <w:ilvl w:val="0"/>
          <w:numId w:val="4"/>
        </w:numPr>
      </w:pPr>
      <w:proofErr w:type="spellStart"/>
      <w:r>
        <w:t>omschrijft</w:t>
      </w:r>
      <w:proofErr w:type="spellEnd"/>
      <w:r>
        <w:t xml:space="preserve"> de </w:t>
      </w:r>
      <w:proofErr w:type="spellStart"/>
      <w:r>
        <w:t>meetinstallaties</w:t>
      </w:r>
      <w:proofErr w:type="spellEnd"/>
      <w:r>
        <w:t>;</w:t>
      </w:r>
    </w:p>
    <w:p w14:paraId="45F556C2" w14:textId="77777777" w:rsidR="00656336" w:rsidRDefault="00656336" w:rsidP="00656336">
      <w:pPr>
        <w:pStyle w:val="Lijstalinea"/>
      </w:pPr>
    </w:p>
    <w:p w14:paraId="700E219F" w14:textId="192A4FB9" w:rsidR="00656336" w:rsidRPr="00656336" w:rsidRDefault="00656336" w:rsidP="008F61D1">
      <w:pPr>
        <w:pStyle w:val="Lijstalinea"/>
        <w:numPr>
          <w:ilvl w:val="0"/>
          <w:numId w:val="4"/>
        </w:numPr>
        <w:rPr>
          <w:lang w:val="nl-BE"/>
        </w:rPr>
      </w:pPr>
      <w:r w:rsidRPr="00656336">
        <w:rPr>
          <w:lang w:val="nl-BE"/>
        </w:rPr>
        <w:t xml:space="preserve">bepaalt </w:t>
      </w:r>
      <w:r w:rsidR="00F27455">
        <w:rPr>
          <w:lang w:val="nl-BE"/>
        </w:rPr>
        <w:t>de contractuele aansluitingscapaciteit</w:t>
      </w:r>
      <w:r w:rsidR="00515786">
        <w:rPr>
          <w:lang w:val="nl-BE"/>
        </w:rPr>
        <w:t xml:space="preserve"> en d</w:t>
      </w:r>
      <w:r w:rsidR="00337DCE">
        <w:rPr>
          <w:lang w:val="nl-BE"/>
        </w:rPr>
        <w:t>e leveringsdruk</w:t>
      </w:r>
      <w:r w:rsidRPr="00656336">
        <w:rPr>
          <w:lang w:val="nl-BE"/>
        </w:rPr>
        <w:t xml:space="preserve"> en legt de eigendoms- en gebruiksrechten van Partijen vast;</w:t>
      </w:r>
    </w:p>
    <w:p w14:paraId="692CC619" w14:textId="77777777" w:rsidR="00656336" w:rsidRPr="00656336" w:rsidRDefault="00656336" w:rsidP="00656336">
      <w:pPr>
        <w:pStyle w:val="Lijstalinea"/>
        <w:rPr>
          <w:lang w:val="nl-BE"/>
        </w:rPr>
      </w:pPr>
    </w:p>
    <w:p w14:paraId="75B8984D" w14:textId="1BE186FC" w:rsidR="00656336" w:rsidRPr="00656336" w:rsidRDefault="00656336" w:rsidP="008F61D1">
      <w:pPr>
        <w:pStyle w:val="Lijstalinea"/>
        <w:numPr>
          <w:ilvl w:val="0"/>
          <w:numId w:val="4"/>
        </w:numPr>
        <w:rPr>
          <w:lang w:val="nl-BE"/>
        </w:rPr>
      </w:pPr>
      <w:r w:rsidRPr="00656336">
        <w:rPr>
          <w:lang w:val="nl-BE"/>
        </w:rPr>
        <w:t>bepaalt tevens de wederzijdse rechten en verplichtingen van Partijen.</w:t>
      </w:r>
    </w:p>
    <w:p w14:paraId="45B7BF67" w14:textId="77777777" w:rsidR="00656336" w:rsidRPr="00656336" w:rsidRDefault="00656336" w:rsidP="00656336">
      <w:pPr>
        <w:rPr>
          <w:lang w:val="nl-BE"/>
        </w:rPr>
      </w:pPr>
    </w:p>
    <w:p w14:paraId="3536AEF5" w14:textId="77777777" w:rsidR="00656336" w:rsidRPr="00656336" w:rsidRDefault="00656336" w:rsidP="00656336">
      <w:pPr>
        <w:rPr>
          <w:lang w:val="nl-BE"/>
        </w:rPr>
      </w:pPr>
      <w:r w:rsidRPr="00656336">
        <w:rPr>
          <w:lang w:val="nl-BE"/>
        </w:rPr>
        <w:t>Voor zoveel als nodig erkennen de Partijen dat dit contract alsook hun wederzijdse rechten</w:t>
      </w:r>
    </w:p>
    <w:p w14:paraId="53D7AAD2" w14:textId="1728190A" w:rsidR="00B25795" w:rsidRDefault="00656336" w:rsidP="00656336">
      <w:pPr>
        <w:rPr>
          <w:lang w:val="nl-BE"/>
        </w:rPr>
      </w:pPr>
      <w:r w:rsidRPr="00656336">
        <w:rPr>
          <w:lang w:val="nl-BE"/>
        </w:rPr>
        <w:t xml:space="preserve">en verplichtingen inzake de Aansluiting op het </w:t>
      </w:r>
      <w:r>
        <w:rPr>
          <w:lang w:val="nl-BE"/>
        </w:rPr>
        <w:t>Aardgas</w:t>
      </w:r>
      <w:r w:rsidRPr="00656336">
        <w:rPr>
          <w:lang w:val="nl-BE"/>
        </w:rPr>
        <w:t>distributienet volledig onderworpen zijn aan de toepasselijke wetten en reglementen, inzonderheid de Technische Reglementen</w:t>
      </w:r>
      <w:r w:rsidR="00B25795">
        <w:rPr>
          <w:lang w:val="nl-BE"/>
        </w:rPr>
        <w:t>.</w:t>
      </w:r>
    </w:p>
    <w:p w14:paraId="0DE2ACFF" w14:textId="04E4AD44" w:rsidR="00656336" w:rsidRPr="00656336" w:rsidRDefault="00656336" w:rsidP="00656336">
      <w:pPr>
        <w:rPr>
          <w:lang w:val="nl-BE"/>
        </w:rPr>
      </w:pPr>
      <w:r>
        <w:rPr>
          <w:lang w:val="nl-BE"/>
        </w:rPr>
        <w:t xml:space="preserve"> </w:t>
      </w:r>
    </w:p>
    <w:p w14:paraId="4C136AC2" w14:textId="77777777" w:rsidR="002B7FCE" w:rsidRDefault="002B7FCE">
      <w:pPr>
        <w:tabs>
          <w:tab w:val="left" w:pos="1134"/>
        </w:tabs>
        <w:jc w:val="both"/>
        <w:rPr>
          <w:rFonts w:cs="FBAPGL+Arial"/>
          <w:color w:val="000000"/>
          <w:sz w:val="22"/>
          <w:szCs w:val="22"/>
          <w:lang w:val="nl-BE"/>
        </w:rPr>
      </w:pPr>
    </w:p>
    <w:p w14:paraId="1FF37031" w14:textId="77777777" w:rsidR="00AB03D3" w:rsidRPr="008847DD" w:rsidRDefault="002B7FCE" w:rsidP="008F61D1">
      <w:pPr>
        <w:pStyle w:val="Kop2"/>
        <w:numPr>
          <w:ilvl w:val="0"/>
          <w:numId w:val="2"/>
        </w:numPr>
        <w:shd w:val="clear" w:color="auto" w:fill="BFBFBF" w:themeFill="background1" w:themeFillShade="BF"/>
        <w:ind w:left="919" w:hanging="1146"/>
        <w:jc w:val="left"/>
        <w:rPr>
          <w:sz w:val="24"/>
          <w:lang w:val="nl-BE"/>
        </w:rPr>
      </w:pPr>
      <w:r w:rsidRPr="008847DD">
        <w:rPr>
          <w:sz w:val="24"/>
          <w:lang w:val="nl-BE"/>
        </w:rPr>
        <w:t>Bijlagen</w:t>
      </w:r>
    </w:p>
    <w:p w14:paraId="5923C7DD" w14:textId="77777777" w:rsidR="00656336" w:rsidRDefault="00656336" w:rsidP="00656336">
      <w:pPr>
        <w:rPr>
          <w:lang w:val="nl-BE"/>
        </w:rPr>
      </w:pPr>
      <w:r w:rsidRPr="00656336">
        <w:rPr>
          <w:lang w:val="nl-BE"/>
        </w:rPr>
        <w:t xml:space="preserve">De volgende bijlagen maken integraal deel uit van dit aansluitingscontract. </w:t>
      </w:r>
    </w:p>
    <w:p w14:paraId="762D4B06" w14:textId="77777777" w:rsidR="00B25795" w:rsidRDefault="00B25795" w:rsidP="00656336">
      <w:pPr>
        <w:rPr>
          <w:lang w:val="nl-BE"/>
        </w:rPr>
      </w:pPr>
    </w:p>
    <w:tbl>
      <w:tblPr>
        <w:tblW w:w="93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7371"/>
        <w:gridCol w:w="1985"/>
      </w:tblGrid>
      <w:tr w:rsidR="00B25795" w:rsidRPr="006B023E" w14:paraId="635133CE" w14:textId="77777777" w:rsidTr="007135E2">
        <w:trPr>
          <w:trHeight w:val="340"/>
        </w:trPr>
        <w:tc>
          <w:tcPr>
            <w:tcW w:w="7371" w:type="dxa"/>
            <w:tcMar>
              <w:top w:w="113" w:type="dxa"/>
              <w:bottom w:w="57" w:type="dxa"/>
            </w:tcMar>
          </w:tcPr>
          <w:p w14:paraId="1BA42354" w14:textId="77777777" w:rsidR="00B25795" w:rsidRPr="003E6994" w:rsidRDefault="00B25795" w:rsidP="007135E2">
            <w:pPr>
              <w:rPr>
                <w:b/>
                <w:u w:val="single"/>
                <w:lang w:val="nl-BE"/>
              </w:rPr>
            </w:pPr>
            <w:r w:rsidRPr="003E6994">
              <w:rPr>
                <w:b/>
                <w:u w:val="single"/>
                <w:lang w:val="nl-BE"/>
              </w:rPr>
              <w:t xml:space="preserve">Bijlagen, als modelcontract overgemaakt aan de VREG </w:t>
            </w:r>
          </w:p>
          <w:p w14:paraId="02EC1F7E" w14:textId="77777777" w:rsidR="00B25795" w:rsidRPr="003E6994" w:rsidRDefault="00B25795" w:rsidP="007135E2">
            <w:pPr>
              <w:rPr>
                <w:u w:val="single"/>
                <w:lang w:val="nl-BE"/>
              </w:rPr>
            </w:pPr>
          </w:p>
        </w:tc>
        <w:tc>
          <w:tcPr>
            <w:tcW w:w="1985" w:type="dxa"/>
          </w:tcPr>
          <w:p w14:paraId="3780CD4F" w14:textId="77777777" w:rsidR="00B25795" w:rsidRPr="003E6994" w:rsidRDefault="00B25795" w:rsidP="007135E2">
            <w:pPr>
              <w:rPr>
                <w:b/>
                <w:u w:val="single"/>
                <w:lang w:val="nl-BE"/>
              </w:rPr>
            </w:pPr>
          </w:p>
        </w:tc>
      </w:tr>
      <w:tr w:rsidR="00B25795" w14:paraId="663CC382" w14:textId="77777777" w:rsidTr="007135E2">
        <w:trPr>
          <w:trHeight w:val="227"/>
        </w:trPr>
        <w:tc>
          <w:tcPr>
            <w:tcW w:w="7371" w:type="dxa"/>
            <w:tcMar>
              <w:top w:w="113" w:type="dxa"/>
              <w:bottom w:w="57" w:type="dxa"/>
            </w:tcMar>
          </w:tcPr>
          <w:p w14:paraId="3D3D4A17" w14:textId="71598B66" w:rsidR="00B25795" w:rsidRPr="003E6994" w:rsidRDefault="006363A1" w:rsidP="00860E5E">
            <w:pPr>
              <w:rPr>
                <w:lang w:val="nl-BE"/>
              </w:rPr>
            </w:pPr>
            <w:r w:rsidRPr="006363A1">
              <w:rPr>
                <w:lang w:val="nl-BE"/>
              </w:rPr>
              <w:t>Algemene voorwaarden</w:t>
            </w:r>
            <w:r>
              <w:rPr>
                <w:lang w:val="nl-BE"/>
              </w:rPr>
              <w:t xml:space="preserve"> </w:t>
            </w:r>
            <w:r w:rsidRPr="006363A1">
              <w:rPr>
                <w:lang w:val="nl-BE"/>
              </w:rPr>
              <w:t>betreffende de Aansluitingen op het Aardgasdistributienet Middendruk voor afname van aardgas met aansluitingscapaciteit ≥ 300m3(n)/h</w:t>
            </w:r>
          </w:p>
        </w:tc>
        <w:tc>
          <w:tcPr>
            <w:tcW w:w="1985" w:type="dxa"/>
          </w:tcPr>
          <w:p w14:paraId="73502F8A" w14:textId="30EEB162" w:rsidR="00B25795" w:rsidRDefault="0058760B" w:rsidP="007135E2">
            <w:r>
              <w:t>December 2016</w:t>
            </w:r>
          </w:p>
        </w:tc>
      </w:tr>
    </w:tbl>
    <w:p w14:paraId="210547CF" w14:textId="77777777" w:rsidR="00B25795" w:rsidRDefault="00B25795" w:rsidP="00656336">
      <w:pPr>
        <w:rPr>
          <w:lang w:val="nl-BE"/>
        </w:rPr>
      </w:pPr>
    </w:p>
    <w:p w14:paraId="429D98E2" w14:textId="77777777" w:rsidR="00B25795" w:rsidRDefault="00B25795" w:rsidP="00656336">
      <w:pPr>
        <w:rPr>
          <w:lang w:val="nl-BE"/>
        </w:rPr>
      </w:pPr>
    </w:p>
    <w:p w14:paraId="6516AE27" w14:textId="77777777" w:rsidR="00B25795" w:rsidRDefault="00B25795" w:rsidP="00B25795"/>
    <w:p w14:paraId="3223EB28" w14:textId="77777777" w:rsidR="00B25795" w:rsidRPr="003E6994" w:rsidRDefault="00B25795" w:rsidP="00B25795">
      <w:pPr>
        <w:rPr>
          <w:b/>
          <w:u w:val="single"/>
          <w:lang w:val="nl-BE"/>
        </w:rPr>
      </w:pPr>
      <w:r w:rsidRPr="003E6994">
        <w:rPr>
          <w:b/>
          <w:u w:val="single"/>
          <w:lang w:val="nl-BE"/>
        </w:rPr>
        <w:t>Bijlagen met specifieke gegevens &amp; afspraken betreffende de Aansluiting of bijhorende installaties</w:t>
      </w:r>
    </w:p>
    <w:p w14:paraId="270120F8" w14:textId="77777777" w:rsidR="00B25795" w:rsidRPr="003E6994" w:rsidRDefault="00B25795" w:rsidP="00B25795">
      <w:pPr>
        <w:rPr>
          <w:b/>
          <w:u w:val="single"/>
          <w:lang w:val="nl-BE"/>
        </w:rPr>
      </w:pPr>
    </w:p>
    <w:tbl>
      <w:tblPr>
        <w:tblW w:w="93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9356"/>
      </w:tblGrid>
      <w:tr w:rsidR="00B25795" w:rsidRPr="00C301F4" w14:paraId="3A4D7C28" w14:textId="77777777" w:rsidTr="007135E2">
        <w:trPr>
          <w:trHeight w:val="340"/>
        </w:trPr>
        <w:tc>
          <w:tcPr>
            <w:tcW w:w="9356" w:type="dxa"/>
            <w:tcMar>
              <w:top w:w="113" w:type="dxa"/>
              <w:bottom w:w="57" w:type="dxa"/>
            </w:tcMar>
          </w:tcPr>
          <w:p w14:paraId="715A8FD9" w14:textId="77777777" w:rsidR="00B25795" w:rsidRPr="00301BAA" w:rsidRDefault="00B25795" w:rsidP="007135E2">
            <w:pPr>
              <w:rPr>
                <w:u w:val="single"/>
              </w:rPr>
            </w:pPr>
            <w:proofErr w:type="spellStart"/>
            <w:r w:rsidRPr="00301BAA">
              <w:rPr>
                <w:b/>
                <w:u w:val="single"/>
              </w:rPr>
              <w:t>Bijlage</w:t>
            </w:r>
            <w:proofErr w:type="spellEnd"/>
            <w:r w:rsidRPr="00301BAA">
              <w:rPr>
                <w:b/>
                <w:u w:val="single"/>
              </w:rPr>
              <w:t>:</w:t>
            </w:r>
          </w:p>
        </w:tc>
      </w:tr>
      <w:tr w:rsidR="00B25795" w:rsidRPr="006B023E" w14:paraId="1047D6EE" w14:textId="77777777" w:rsidTr="007135E2">
        <w:trPr>
          <w:trHeight w:val="32"/>
        </w:trPr>
        <w:tc>
          <w:tcPr>
            <w:tcW w:w="9356" w:type="dxa"/>
            <w:tcMar>
              <w:top w:w="113" w:type="dxa"/>
              <w:bottom w:w="57" w:type="dxa"/>
            </w:tcMar>
          </w:tcPr>
          <w:p w14:paraId="49A0DBD4" w14:textId="77777777" w:rsidR="00B25795" w:rsidRPr="003E6994" w:rsidRDefault="00B25795" w:rsidP="007135E2">
            <w:pPr>
              <w:rPr>
                <w:lang w:val="nl-BE"/>
              </w:rPr>
            </w:pPr>
            <w:r w:rsidRPr="003E6994">
              <w:rPr>
                <w:lang w:val="nl-BE"/>
              </w:rPr>
              <w:t xml:space="preserve">Inplantingsplan van de Aansluiting </w:t>
            </w:r>
          </w:p>
          <w:p w14:paraId="3B1E30ED" w14:textId="77777777" w:rsidR="00B25795" w:rsidRPr="003E6994" w:rsidRDefault="00B25795" w:rsidP="007135E2">
            <w:pPr>
              <w:rPr>
                <w:color w:val="4F81BD" w:themeColor="accent1"/>
                <w:lang w:val="nl-BE"/>
              </w:rPr>
            </w:pPr>
            <w:r w:rsidRPr="003E6994">
              <w:rPr>
                <w:lang w:val="nl-BE"/>
              </w:rPr>
              <w:t>(zoals aangeleverd door de DNG en goedgekeurd door de DNB).</w:t>
            </w:r>
          </w:p>
        </w:tc>
      </w:tr>
    </w:tbl>
    <w:p w14:paraId="141D99C2" w14:textId="37373FFD" w:rsidR="00B25795" w:rsidRDefault="00B25795" w:rsidP="00656336">
      <w:pPr>
        <w:rPr>
          <w:lang w:val="nl-BE"/>
        </w:rPr>
      </w:pPr>
    </w:p>
    <w:p w14:paraId="5E7ED6DE" w14:textId="77777777" w:rsidR="008847DD" w:rsidRDefault="008847DD">
      <w:pPr>
        <w:tabs>
          <w:tab w:val="left" w:pos="1134"/>
        </w:tabs>
        <w:jc w:val="both"/>
        <w:rPr>
          <w:sz w:val="22"/>
          <w:lang w:val="nl-BE"/>
        </w:rPr>
      </w:pPr>
    </w:p>
    <w:p w14:paraId="4EA05F39" w14:textId="77777777" w:rsidR="00B25795" w:rsidRDefault="00B25795">
      <w:pPr>
        <w:tabs>
          <w:tab w:val="left" w:pos="1134"/>
        </w:tabs>
        <w:jc w:val="both"/>
        <w:rPr>
          <w:sz w:val="22"/>
          <w:lang w:val="nl-BE"/>
        </w:rPr>
      </w:pPr>
    </w:p>
    <w:p w14:paraId="4305F973" w14:textId="77777777" w:rsidR="00AB03D3" w:rsidRPr="008847DD" w:rsidRDefault="00AB03D3" w:rsidP="008F61D1">
      <w:pPr>
        <w:pStyle w:val="Kop2"/>
        <w:numPr>
          <w:ilvl w:val="0"/>
          <w:numId w:val="2"/>
        </w:numPr>
        <w:shd w:val="clear" w:color="auto" w:fill="BFBFBF" w:themeFill="background1" w:themeFillShade="BF"/>
        <w:ind w:left="919" w:hanging="1146"/>
        <w:jc w:val="left"/>
        <w:rPr>
          <w:sz w:val="24"/>
          <w:lang w:val="nl-BE"/>
        </w:rPr>
      </w:pPr>
      <w:r w:rsidRPr="008847DD">
        <w:rPr>
          <w:sz w:val="24"/>
          <w:lang w:val="nl-BE"/>
        </w:rPr>
        <w:t>Identificatie van de aansluiting</w:t>
      </w:r>
    </w:p>
    <w:p w14:paraId="573F770F" w14:textId="77777777" w:rsidR="00AB03D3" w:rsidRDefault="00AB03D3" w:rsidP="00AB03D3">
      <w:pPr>
        <w:tabs>
          <w:tab w:val="left" w:pos="1134"/>
        </w:tabs>
        <w:jc w:val="both"/>
        <w:rPr>
          <w:rFonts w:cs="FBAPGL+Arial"/>
          <w:color w:val="000000"/>
          <w:sz w:val="22"/>
          <w:szCs w:val="22"/>
          <w:lang w:val="nl-BE"/>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2484"/>
        <w:gridCol w:w="19"/>
        <w:gridCol w:w="6392"/>
      </w:tblGrid>
      <w:tr w:rsidR="00F70F9E" w:rsidRPr="006B023E" w14:paraId="419BC91B" w14:textId="77777777">
        <w:trPr>
          <w:trHeight w:val="227"/>
        </w:trPr>
        <w:tc>
          <w:tcPr>
            <w:tcW w:w="2552" w:type="dxa"/>
            <w:gridSpan w:val="2"/>
            <w:tcMar>
              <w:top w:w="113" w:type="dxa"/>
              <w:bottom w:w="57" w:type="dxa"/>
            </w:tcMar>
            <w:vAlign w:val="center"/>
          </w:tcPr>
          <w:p w14:paraId="38C762D3" w14:textId="77777777" w:rsidR="00F70F9E" w:rsidRDefault="00F70F9E" w:rsidP="00515786">
            <w:pPr>
              <w:tabs>
                <w:tab w:val="left" w:pos="1134"/>
                <w:tab w:val="left" w:pos="2835"/>
              </w:tabs>
              <w:jc w:val="both"/>
              <w:rPr>
                <w:lang w:val="nl-BE"/>
              </w:rPr>
            </w:pPr>
            <w:r w:rsidRPr="008847DD">
              <w:rPr>
                <w:b/>
                <w:bCs/>
                <w:lang w:val="nl-BE"/>
              </w:rPr>
              <w:t>EAN-GSRN-nummer</w:t>
            </w:r>
            <w:r w:rsidR="008847DD" w:rsidRPr="008847DD">
              <w:rPr>
                <w:b/>
                <w:bCs/>
                <w:lang w:val="nl-BE"/>
              </w:rPr>
              <w:t xml:space="preserve"> van het Toegangspunt of de Toega</w:t>
            </w:r>
            <w:r w:rsidR="00515786">
              <w:rPr>
                <w:b/>
                <w:bCs/>
                <w:lang w:val="nl-BE"/>
              </w:rPr>
              <w:t>n</w:t>
            </w:r>
            <w:r w:rsidR="008847DD" w:rsidRPr="008847DD">
              <w:rPr>
                <w:b/>
                <w:bCs/>
                <w:lang w:val="nl-BE"/>
              </w:rPr>
              <w:t>gspunten horende bij de Aansluiting</w:t>
            </w:r>
            <w:r w:rsidR="008847DD">
              <w:rPr>
                <w:b/>
                <w:bCs/>
                <w:lang w:val="nl-BE"/>
              </w:rPr>
              <w:t>:</w:t>
            </w:r>
          </w:p>
        </w:tc>
        <w:tc>
          <w:tcPr>
            <w:tcW w:w="6769" w:type="dxa"/>
            <w:tcMar>
              <w:top w:w="113" w:type="dxa"/>
              <w:bottom w:w="57" w:type="dxa"/>
            </w:tcMar>
            <w:vAlign w:val="center"/>
          </w:tcPr>
          <w:p w14:paraId="54271377" w14:textId="32D8C7B9" w:rsidR="00F70F9E" w:rsidRDefault="008847DD" w:rsidP="008847DD">
            <w:pPr>
              <w:rPr>
                <w:lang w:val="nl-BE"/>
              </w:rPr>
            </w:pPr>
            <w:r w:rsidRPr="00B25795">
              <w:rPr>
                <w:lang w:val="nl-BE"/>
              </w:rPr>
              <w:t>EAN voor Toegangspunt afname</w:t>
            </w:r>
            <w:r w:rsidRPr="00845C2A">
              <w:rPr>
                <w:color w:val="548DD4" w:themeColor="text2" w:themeTint="99"/>
                <w:lang w:val="nl-BE"/>
              </w:rPr>
              <w:t xml:space="preserve">: </w:t>
            </w:r>
            <w:r w:rsidR="0058760B">
              <w:rPr>
                <w:color w:val="548DD4" w:themeColor="text2" w:themeTint="99"/>
                <w:lang w:val="nl-BE"/>
              </w:rPr>
              <w:fldChar w:fldCharType="begin"/>
            </w:r>
            <w:r w:rsidR="0058760B">
              <w:rPr>
                <w:color w:val="548DD4" w:themeColor="text2" w:themeTint="99"/>
                <w:lang w:val="nl-BE"/>
              </w:rPr>
              <w:instrText xml:space="preserve"> MERGEFIELD  EAN1 </w:instrText>
            </w:r>
            <w:r w:rsidR="0058760B">
              <w:rPr>
                <w:color w:val="548DD4" w:themeColor="text2" w:themeTint="99"/>
                <w:lang w:val="nl-BE"/>
              </w:rPr>
              <w:fldChar w:fldCharType="separate"/>
            </w:r>
            <w:r w:rsidR="0058760B">
              <w:rPr>
                <w:noProof/>
                <w:color w:val="548DD4" w:themeColor="text2" w:themeTint="99"/>
                <w:lang w:val="nl-BE"/>
              </w:rPr>
              <w:t>«EAN1»</w:t>
            </w:r>
            <w:r w:rsidR="0058760B">
              <w:rPr>
                <w:color w:val="548DD4" w:themeColor="text2" w:themeTint="99"/>
                <w:lang w:val="nl-BE"/>
              </w:rPr>
              <w:fldChar w:fldCharType="end"/>
            </w:r>
            <w:r w:rsidR="007C4E96" w:rsidRPr="00A444F8">
              <w:rPr>
                <w:lang w:val="nl-BE"/>
              </w:rPr>
              <w:t xml:space="preserve"> </w:t>
            </w:r>
          </w:p>
          <w:p w14:paraId="7A229BC3" w14:textId="77777777" w:rsidR="00F70F9E" w:rsidRDefault="00F70F9E">
            <w:pPr>
              <w:tabs>
                <w:tab w:val="left" w:pos="1134"/>
                <w:tab w:val="left" w:pos="2835"/>
              </w:tabs>
              <w:jc w:val="both"/>
              <w:rPr>
                <w:lang w:val="nl-BE"/>
              </w:rPr>
            </w:pPr>
          </w:p>
          <w:p w14:paraId="521D1AD9" w14:textId="1A8C2663" w:rsidR="008847DD" w:rsidRDefault="008847DD" w:rsidP="00642440">
            <w:pPr>
              <w:rPr>
                <w:lang w:val="nl-BE"/>
              </w:rPr>
            </w:pPr>
          </w:p>
        </w:tc>
      </w:tr>
      <w:tr w:rsidR="00F70F9E" w14:paraId="19E70A7C" w14:textId="77777777">
        <w:trPr>
          <w:trHeight w:val="340"/>
        </w:trPr>
        <w:tc>
          <w:tcPr>
            <w:tcW w:w="2552" w:type="dxa"/>
            <w:gridSpan w:val="2"/>
            <w:tcMar>
              <w:top w:w="113" w:type="dxa"/>
              <w:bottom w:w="57" w:type="dxa"/>
            </w:tcMar>
            <w:vAlign w:val="center"/>
          </w:tcPr>
          <w:p w14:paraId="107ED539" w14:textId="77777777" w:rsidR="00F70F9E" w:rsidRDefault="008866F3" w:rsidP="008847DD">
            <w:pPr>
              <w:tabs>
                <w:tab w:val="left" w:pos="1134"/>
                <w:tab w:val="left" w:pos="2835"/>
              </w:tabs>
              <w:jc w:val="both"/>
              <w:rPr>
                <w:lang w:val="nl-BE"/>
              </w:rPr>
            </w:pPr>
            <w:r>
              <w:rPr>
                <w:b/>
                <w:bCs/>
                <w:lang w:val="nl-BE"/>
              </w:rPr>
              <w:t>A</w:t>
            </w:r>
            <w:r w:rsidR="008847DD">
              <w:rPr>
                <w:b/>
                <w:bCs/>
                <w:lang w:val="nl-BE"/>
              </w:rPr>
              <w:t>fnameplaats</w:t>
            </w:r>
            <w:r w:rsidR="00F70F9E">
              <w:rPr>
                <w:b/>
                <w:bCs/>
                <w:lang w:val="nl-BE"/>
              </w:rPr>
              <w:t>:</w:t>
            </w:r>
            <w:r w:rsidR="00F70F9E">
              <w:rPr>
                <w:b/>
                <w:bCs/>
                <w:lang w:val="nl-BE"/>
              </w:rPr>
              <w:tab/>
            </w:r>
            <w:r w:rsidR="00F70F9E">
              <w:rPr>
                <w:b/>
                <w:bCs/>
                <w:lang w:val="nl-BE"/>
              </w:rPr>
              <w:tab/>
            </w:r>
          </w:p>
        </w:tc>
        <w:tc>
          <w:tcPr>
            <w:tcW w:w="6769" w:type="dxa"/>
            <w:tcMar>
              <w:top w:w="113" w:type="dxa"/>
              <w:bottom w:w="57" w:type="dxa"/>
            </w:tcMar>
            <w:vAlign w:val="center"/>
          </w:tcPr>
          <w:p w14:paraId="6CC698F6" w14:textId="047E3F11" w:rsidR="00F70F9E" w:rsidRDefault="0058760B">
            <w:pPr>
              <w:tabs>
                <w:tab w:val="left" w:pos="1134"/>
                <w:tab w:val="left" w:pos="2835"/>
              </w:tabs>
              <w:jc w:val="both"/>
              <w:rPr>
                <w:lang w:val="nl-BE"/>
              </w:rPr>
            </w:pPr>
            <w:r>
              <w:rPr>
                <w:color w:val="548DD4" w:themeColor="text2" w:themeTint="99"/>
                <w:lang w:val="nl-BE"/>
              </w:rPr>
              <w:fldChar w:fldCharType="begin"/>
            </w:r>
            <w:r>
              <w:rPr>
                <w:color w:val="548DD4" w:themeColor="text2" w:themeTint="99"/>
                <w:lang w:val="nl-BE"/>
              </w:rPr>
              <w:instrText xml:space="preserve"> MERGEFIELD  WORK_ADDRESS </w:instrText>
            </w:r>
            <w:r>
              <w:rPr>
                <w:color w:val="548DD4" w:themeColor="text2" w:themeTint="99"/>
                <w:lang w:val="nl-BE"/>
              </w:rPr>
              <w:fldChar w:fldCharType="separate"/>
            </w:r>
            <w:r>
              <w:rPr>
                <w:noProof/>
                <w:color w:val="548DD4" w:themeColor="text2" w:themeTint="99"/>
                <w:lang w:val="nl-BE"/>
              </w:rPr>
              <w:t>«WORK_ADDRESS»</w:t>
            </w:r>
            <w:r>
              <w:rPr>
                <w:color w:val="548DD4" w:themeColor="text2" w:themeTint="99"/>
                <w:lang w:val="nl-BE"/>
              </w:rPr>
              <w:fldChar w:fldCharType="end"/>
            </w:r>
          </w:p>
        </w:tc>
      </w:tr>
      <w:tr w:rsidR="00F70F9E" w:rsidRPr="0032227A" w14:paraId="0608C356" w14:textId="77777777" w:rsidTr="001B6B3B">
        <w:trPr>
          <w:trHeight w:val="340"/>
        </w:trPr>
        <w:tc>
          <w:tcPr>
            <w:tcW w:w="2532" w:type="dxa"/>
            <w:tcMar>
              <w:top w:w="113" w:type="dxa"/>
              <w:bottom w:w="57" w:type="dxa"/>
            </w:tcMar>
            <w:vAlign w:val="center"/>
          </w:tcPr>
          <w:p w14:paraId="4F89E6ED" w14:textId="77777777" w:rsidR="00F70F9E" w:rsidRDefault="00F70F9E">
            <w:pPr>
              <w:tabs>
                <w:tab w:val="left" w:pos="1134"/>
                <w:tab w:val="left" w:pos="2835"/>
              </w:tabs>
              <w:jc w:val="both"/>
              <w:rPr>
                <w:lang w:val="nl-BE"/>
              </w:rPr>
            </w:pPr>
            <w:r>
              <w:rPr>
                <w:b/>
                <w:bCs/>
                <w:lang w:val="nl-BE"/>
              </w:rPr>
              <w:t>Aansluitingspunt:</w:t>
            </w:r>
            <w:r>
              <w:rPr>
                <w:b/>
                <w:bCs/>
                <w:lang w:val="nl-BE"/>
              </w:rPr>
              <w:tab/>
            </w:r>
          </w:p>
        </w:tc>
        <w:tc>
          <w:tcPr>
            <w:tcW w:w="6789" w:type="dxa"/>
            <w:gridSpan w:val="2"/>
            <w:tcMar>
              <w:top w:w="113" w:type="dxa"/>
              <w:bottom w:w="57" w:type="dxa"/>
            </w:tcMar>
            <w:vAlign w:val="center"/>
          </w:tcPr>
          <w:p w14:paraId="786CEE8E" w14:textId="77777777" w:rsidR="00F70F9E" w:rsidRDefault="008847DD">
            <w:pPr>
              <w:tabs>
                <w:tab w:val="left" w:pos="1134"/>
                <w:tab w:val="left" w:pos="2835"/>
              </w:tabs>
              <w:jc w:val="both"/>
              <w:rPr>
                <w:u w:val="double"/>
                <w:lang w:val="nl-BE"/>
              </w:rPr>
            </w:pPr>
            <w:r w:rsidRPr="00037CF2">
              <w:rPr>
                <w:color w:val="548DD4" w:themeColor="text2" w:themeTint="99"/>
              </w:rPr>
              <w:t>(</w:t>
            </w:r>
            <w:proofErr w:type="spellStart"/>
            <w:r w:rsidRPr="00037CF2">
              <w:rPr>
                <w:color w:val="548DD4" w:themeColor="text2" w:themeTint="99"/>
              </w:rPr>
              <w:t>adres</w:t>
            </w:r>
            <w:proofErr w:type="spellEnd"/>
            <w:r w:rsidRPr="00037CF2">
              <w:rPr>
                <w:color w:val="548DD4" w:themeColor="text2" w:themeTint="99"/>
              </w:rPr>
              <w:t>) of idem</w:t>
            </w:r>
            <w:r>
              <w:rPr>
                <w:color w:val="548DD4" w:themeColor="text2" w:themeTint="99"/>
              </w:rPr>
              <w:t xml:space="preserve"> </w:t>
            </w:r>
            <w:proofErr w:type="spellStart"/>
            <w:r>
              <w:rPr>
                <w:color w:val="548DD4" w:themeColor="text2" w:themeTint="99"/>
              </w:rPr>
              <w:t>Afnameplaats</w:t>
            </w:r>
            <w:proofErr w:type="spellEnd"/>
          </w:p>
        </w:tc>
      </w:tr>
      <w:tr w:rsidR="00F70F9E" w:rsidRPr="0032227A" w14:paraId="10725972" w14:textId="77777777" w:rsidTr="001B6B3B">
        <w:trPr>
          <w:trHeight w:val="340"/>
        </w:trPr>
        <w:tc>
          <w:tcPr>
            <w:tcW w:w="2532" w:type="dxa"/>
            <w:tcMar>
              <w:top w:w="113" w:type="dxa"/>
              <w:bottom w:w="57" w:type="dxa"/>
            </w:tcMar>
            <w:vAlign w:val="center"/>
          </w:tcPr>
          <w:p w14:paraId="193A7690" w14:textId="77777777" w:rsidR="00F70F9E" w:rsidRDefault="00F70F9E">
            <w:pPr>
              <w:tabs>
                <w:tab w:val="left" w:pos="1134"/>
                <w:tab w:val="left" w:pos="2835"/>
              </w:tabs>
              <w:jc w:val="both"/>
              <w:rPr>
                <w:b/>
                <w:bCs/>
                <w:lang w:val="nl-BE"/>
              </w:rPr>
            </w:pPr>
            <w:r>
              <w:rPr>
                <w:b/>
                <w:bCs/>
                <w:lang w:val="nl-BE"/>
              </w:rPr>
              <w:lastRenderedPageBreak/>
              <w:t>Toegangspunt:</w:t>
            </w:r>
          </w:p>
        </w:tc>
        <w:tc>
          <w:tcPr>
            <w:tcW w:w="6789" w:type="dxa"/>
            <w:gridSpan w:val="2"/>
            <w:tcMar>
              <w:top w:w="113" w:type="dxa"/>
              <w:bottom w:w="57" w:type="dxa"/>
            </w:tcMar>
            <w:vAlign w:val="center"/>
          </w:tcPr>
          <w:p w14:paraId="72E32E41" w14:textId="77777777" w:rsidR="00F70F9E" w:rsidRDefault="008847DD">
            <w:pPr>
              <w:tabs>
                <w:tab w:val="left" w:pos="1134"/>
                <w:tab w:val="left" w:pos="2835"/>
              </w:tabs>
              <w:jc w:val="both"/>
              <w:rPr>
                <w:lang w:val="nl-BE"/>
              </w:rPr>
            </w:pPr>
            <w:r w:rsidRPr="00037CF2">
              <w:rPr>
                <w:color w:val="548DD4" w:themeColor="text2" w:themeTint="99"/>
              </w:rPr>
              <w:t>(</w:t>
            </w:r>
            <w:proofErr w:type="spellStart"/>
            <w:r w:rsidRPr="00037CF2">
              <w:rPr>
                <w:color w:val="548DD4" w:themeColor="text2" w:themeTint="99"/>
              </w:rPr>
              <w:t>adres</w:t>
            </w:r>
            <w:proofErr w:type="spellEnd"/>
            <w:r w:rsidRPr="00037CF2">
              <w:rPr>
                <w:color w:val="548DD4" w:themeColor="text2" w:themeTint="99"/>
              </w:rPr>
              <w:t>) of idem</w:t>
            </w:r>
            <w:r>
              <w:rPr>
                <w:color w:val="548DD4" w:themeColor="text2" w:themeTint="99"/>
              </w:rPr>
              <w:t xml:space="preserve"> </w:t>
            </w:r>
            <w:proofErr w:type="spellStart"/>
            <w:r>
              <w:rPr>
                <w:color w:val="548DD4" w:themeColor="text2" w:themeTint="99"/>
              </w:rPr>
              <w:t>Afnameplaats</w:t>
            </w:r>
            <w:proofErr w:type="spellEnd"/>
          </w:p>
        </w:tc>
      </w:tr>
      <w:tr w:rsidR="00F70F9E" w:rsidRPr="0032227A" w14:paraId="397FE933" w14:textId="77777777" w:rsidTr="001B6B3B">
        <w:trPr>
          <w:trHeight w:val="340"/>
        </w:trPr>
        <w:tc>
          <w:tcPr>
            <w:tcW w:w="2532" w:type="dxa"/>
            <w:tcMar>
              <w:top w:w="113" w:type="dxa"/>
              <w:bottom w:w="57" w:type="dxa"/>
            </w:tcMar>
            <w:vAlign w:val="center"/>
          </w:tcPr>
          <w:p w14:paraId="0DDE1833" w14:textId="77777777" w:rsidR="00F70F9E" w:rsidRDefault="00F70F9E">
            <w:pPr>
              <w:tabs>
                <w:tab w:val="left" w:pos="1134"/>
                <w:tab w:val="left" w:pos="2835"/>
              </w:tabs>
              <w:jc w:val="both"/>
              <w:rPr>
                <w:b/>
                <w:bCs/>
                <w:lang w:val="nl-BE"/>
              </w:rPr>
            </w:pPr>
            <w:r>
              <w:rPr>
                <w:b/>
                <w:bCs/>
                <w:lang w:val="nl-BE"/>
              </w:rPr>
              <w:t>Meetpunt:</w:t>
            </w:r>
          </w:p>
        </w:tc>
        <w:tc>
          <w:tcPr>
            <w:tcW w:w="6789" w:type="dxa"/>
            <w:gridSpan w:val="2"/>
            <w:tcMar>
              <w:top w:w="113" w:type="dxa"/>
              <w:bottom w:w="57" w:type="dxa"/>
            </w:tcMar>
            <w:vAlign w:val="center"/>
          </w:tcPr>
          <w:p w14:paraId="1C530F55" w14:textId="77777777" w:rsidR="00F70F9E" w:rsidRDefault="008847DD" w:rsidP="001B6B3B">
            <w:pPr>
              <w:tabs>
                <w:tab w:val="left" w:pos="1134"/>
                <w:tab w:val="left" w:pos="2835"/>
              </w:tabs>
              <w:jc w:val="both"/>
              <w:rPr>
                <w:lang w:val="nl-BE"/>
              </w:rPr>
            </w:pPr>
            <w:r w:rsidRPr="00037CF2">
              <w:rPr>
                <w:color w:val="548DD4" w:themeColor="text2" w:themeTint="99"/>
              </w:rPr>
              <w:t>(</w:t>
            </w:r>
            <w:proofErr w:type="spellStart"/>
            <w:r w:rsidRPr="00037CF2">
              <w:rPr>
                <w:color w:val="548DD4" w:themeColor="text2" w:themeTint="99"/>
              </w:rPr>
              <w:t>adres</w:t>
            </w:r>
            <w:proofErr w:type="spellEnd"/>
            <w:r w:rsidRPr="00037CF2">
              <w:rPr>
                <w:color w:val="548DD4" w:themeColor="text2" w:themeTint="99"/>
              </w:rPr>
              <w:t>) of idem</w:t>
            </w:r>
            <w:r>
              <w:rPr>
                <w:color w:val="548DD4" w:themeColor="text2" w:themeTint="99"/>
              </w:rPr>
              <w:t xml:space="preserve"> </w:t>
            </w:r>
            <w:proofErr w:type="spellStart"/>
            <w:r>
              <w:rPr>
                <w:color w:val="548DD4" w:themeColor="text2" w:themeTint="99"/>
              </w:rPr>
              <w:t>Afnameplaats</w:t>
            </w:r>
            <w:proofErr w:type="spellEnd"/>
          </w:p>
        </w:tc>
      </w:tr>
      <w:tr w:rsidR="004615F5" w:rsidRPr="006B023E" w14:paraId="24C46D59" w14:textId="77777777" w:rsidTr="001B6B3B">
        <w:trPr>
          <w:trHeight w:val="340"/>
        </w:trPr>
        <w:tc>
          <w:tcPr>
            <w:tcW w:w="2532" w:type="dxa"/>
            <w:tcMar>
              <w:top w:w="113" w:type="dxa"/>
              <w:bottom w:w="57" w:type="dxa"/>
            </w:tcMar>
            <w:vAlign w:val="center"/>
          </w:tcPr>
          <w:p w14:paraId="7B2221A4" w14:textId="77777777" w:rsidR="004615F5" w:rsidRPr="00860001" w:rsidRDefault="004615F5" w:rsidP="004615F5">
            <w:pPr>
              <w:tabs>
                <w:tab w:val="left" w:pos="1134"/>
                <w:tab w:val="left" w:pos="2835"/>
              </w:tabs>
              <w:rPr>
                <w:b/>
                <w:bCs/>
                <w:lang w:val="nl-BE"/>
              </w:rPr>
            </w:pPr>
            <w:proofErr w:type="spellStart"/>
            <w:r w:rsidRPr="00860001">
              <w:rPr>
                <w:b/>
              </w:rPr>
              <w:t>Klantengroep</w:t>
            </w:r>
            <w:proofErr w:type="spellEnd"/>
            <w:r w:rsidRPr="00860001">
              <w:rPr>
                <w:b/>
              </w:rPr>
              <w:t xml:space="preserve"> </w:t>
            </w:r>
            <w:proofErr w:type="spellStart"/>
            <w:r w:rsidRPr="00860001">
              <w:rPr>
                <w:b/>
              </w:rPr>
              <w:t>voor</w:t>
            </w:r>
            <w:proofErr w:type="spellEnd"/>
            <w:r w:rsidRPr="00860001">
              <w:rPr>
                <w:b/>
              </w:rPr>
              <w:t xml:space="preserve"> </w:t>
            </w:r>
            <w:proofErr w:type="spellStart"/>
            <w:r w:rsidRPr="00860001">
              <w:rPr>
                <w:b/>
              </w:rPr>
              <w:t>Tarief</w:t>
            </w:r>
            <w:proofErr w:type="spellEnd"/>
            <w:r w:rsidRPr="00860001">
              <w:rPr>
                <w:b/>
              </w:rPr>
              <w:t>:</w:t>
            </w:r>
          </w:p>
        </w:tc>
        <w:tc>
          <w:tcPr>
            <w:tcW w:w="6789" w:type="dxa"/>
            <w:gridSpan w:val="2"/>
            <w:tcMar>
              <w:top w:w="113" w:type="dxa"/>
              <w:bottom w:w="57" w:type="dxa"/>
            </w:tcMar>
            <w:vAlign w:val="center"/>
          </w:tcPr>
          <w:p w14:paraId="1CE7584A" w14:textId="77777777" w:rsidR="006B023E" w:rsidRDefault="004615F5" w:rsidP="004615F5">
            <w:pPr>
              <w:rPr>
                <w:color w:val="548DD4" w:themeColor="text2" w:themeTint="99"/>
                <w:lang w:val="nl-BE"/>
              </w:rPr>
            </w:pPr>
            <w:r w:rsidRPr="00860001">
              <w:rPr>
                <w:color w:val="548DD4" w:themeColor="text2" w:themeTint="99"/>
                <w:lang w:val="nl-BE"/>
              </w:rPr>
              <w:t xml:space="preserve">Type distributienettarief </w:t>
            </w:r>
            <w:proofErr w:type="spellStart"/>
            <w:r w:rsidRPr="00860001">
              <w:rPr>
                <w:color w:val="548DD4" w:themeColor="text2" w:themeTint="99"/>
                <w:lang w:val="nl-BE"/>
              </w:rPr>
              <w:t>afname</w:t>
            </w:r>
            <w:r w:rsidR="0034029C">
              <w:rPr>
                <w:color w:val="548DD4" w:themeColor="text2" w:themeTint="99"/>
                <w:lang w:val="nl-BE"/>
              </w:rPr>
              <w:t>op</w:t>
            </w:r>
            <w:proofErr w:type="spellEnd"/>
            <w:r w:rsidR="0034029C">
              <w:rPr>
                <w:color w:val="548DD4" w:themeColor="text2" w:themeTint="99"/>
                <w:lang w:val="nl-BE"/>
              </w:rPr>
              <w:t xml:space="preserve"> het tijdstip van </w:t>
            </w:r>
            <w:r w:rsidR="00A444F8">
              <w:rPr>
                <w:color w:val="548DD4" w:themeColor="text2" w:themeTint="99"/>
                <w:lang w:val="nl-BE"/>
              </w:rPr>
              <w:t>A</w:t>
            </w:r>
            <w:r w:rsidR="0034029C">
              <w:rPr>
                <w:color w:val="548DD4" w:themeColor="text2" w:themeTint="99"/>
                <w:lang w:val="nl-BE"/>
              </w:rPr>
              <w:t>ansluiting</w:t>
            </w:r>
            <w:r w:rsidR="00B9267C">
              <w:rPr>
                <w:color w:val="548DD4" w:themeColor="text2" w:themeTint="99"/>
                <w:lang w:val="nl-BE"/>
              </w:rPr>
              <w:t xml:space="preserve">: </w:t>
            </w:r>
            <w:r w:rsidR="00D32539">
              <w:rPr>
                <w:color w:val="548DD4" w:themeColor="text2" w:themeTint="99"/>
                <w:lang w:val="nl-BE"/>
              </w:rPr>
              <w:t xml:space="preserve"> </w:t>
            </w:r>
          </w:p>
          <w:bookmarkStart w:id="0" w:name="_GoBack"/>
          <w:p w14:paraId="088D3446" w14:textId="61DF21C1" w:rsidR="004615F5" w:rsidRPr="00860001" w:rsidRDefault="00B4299E" w:rsidP="004615F5">
            <w:pPr>
              <w:rPr>
                <w:color w:val="548DD4" w:themeColor="text2" w:themeTint="99"/>
                <w:lang w:val="nl-BE"/>
              </w:rPr>
            </w:pPr>
            <w:sdt>
              <w:sdtPr>
                <w:rPr>
                  <w:highlight w:val="yellow"/>
                </w:rPr>
                <w:alias w:val="Type"/>
                <w:tag w:val="Type"/>
                <w:id w:val="11645397"/>
                <w:placeholder>
                  <w:docPart w:val="CC5959469AB54D5D86C25C229BCE2A1A"/>
                </w:placeholder>
                <w:showingPlcHdr/>
                <w:comboBox>
                  <w:listItem w:value="Kies een item."/>
                  <w:listItem w:displayText="MP4(T4) : netdruk &gt; 100 mbar en meter &lt; G650(verbruik&lt;100.000m³)" w:value=""/>
                  <w:listItem w:displayText="MP5(T5) : netdruk &gt; 100 mbar en meter &gt;= G160(verbruik&gt;=100.000m³)" w:value="."/>
                  <w:listItem w:displayText="MP6(T6) : netdruk &gt; 100 mbar en meter &gt;= G400(verbruik&gt;=100.000m³)" w:value=","/>
                </w:comboBox>
              </w:sdtPr>
              <w:sdtContent>
                <w:r w:rsidRPr="001D3312">
                  <w:rPr>
                    <w:rStyle w:val="Tekstvantijdelijkeaanduiding"/>
                    <w:rFonts w:eastAsiaTheme="minorEastAsia"/>
                    <w:highlight w:val="yellow"/>
                  </w:rPr>
                  <w:t>Kies een item.</w:t>
                </w:r>
              </w:sdtContent>
            </w:sdt>
            <w:bookmarkEnd w:id="0"/>
            <w:r w:rsidRPr="00860001">
              <w:rPr>
                <w:color w:val="548DD4" w:themeColor="text2" w:themeTint="99"/>
                <w:lang w:val="nl-BE"/>
              </w:rPr>
              <w:t xml:space="preserve"> </w:t>
            </w:r>
          </w:p>
          <w:p w14:paraId="240110D9" w14:textId="77777777" w:rsidR="004615F5" w:rsidRPr="00860001" w:rsidRDefault="004615F5" w:rsidP="004615F5">
            <w:pPr>
              <w:rPr>
                <w:color w:val="548DD4" w:themeColor="text2" w:themeTint="99"/>
                <w:lang w:val="nl-BE"/>
              </w:rPr>
            </w:pPr>
          </w:p>
          <w:p w14:paraId="57F00862" w14:textId="77777777" w:rsidR="004615F5" w:rsidRPr="00756920" w:rsidRDefault="004615F5" w:rsidP="004615F5">
            <w:pPr>
              <w:rPr>
                <w:i/>
                <w:sz w:val="16"/>
                <w:szCs w:val="16"/>
                <w:lang w:val="nl-BE"/>
              </w:rPr>
            </w:pPr>
            <w:r w:rsidRPr="00756920">
              <w:rPr>
                <w:i/>
                <w:sz w:val="16"/>
                <w:szCs w:val="16"/>
                <w:lang w:val="nl-BE"/>
              </w:rPr>
              <w:t>De verschillende klantengroepen, met hun eigenschappen, zijn beschreven in de door de VREG vastgestelde tariefmethodologie die beschikbaar is op de website van de VREG</w:t>
            </w:r>
          </w:p>
          <w:p w14:paraId="2E7E703E" w14:textId="77777777" w:rsidR="004615F5" w:rsidRPr="00756920" w:rsidRDefault="004615F5" w:rsidP="004615F5">
            <w:pPr>
              <w:rPr>
                <w:i/>
                <w:sz w:val="16"/>
                <w:szCs w:val="16"/>
                <w:lang w:val="nl-BE"/>
              </w:rPr>
            </w:pPr>
          </w:p>
          <w:p w14:paraId="43A4CFCB" w14:textId="2FE78FC1" w:rsidR="00EA2348" w:rsidRPr="00EA2348" w:rsidRDefault="004615F5" w:rsidP="00EA2348">
            <w:pPr>
              <w:rPr>
                <w:rFonts w:ascii="FBAPIO+Arial,Bold" w:hAnsi="FBAPIO+Arial,Bold" w:cs="FBAPIO+Arial,Bold"/>
                <w:b/>
                <w:bCs/>
                <w:color w:val="000000"/>
                <w:lang w:val="nl-BE" w:eastAsia="nl-BE"/>
              </w:rPr>
            </w:pPr>
            <w:r w:rsidRPr="00756920">
              <w:rPr>
                <w:i/>
                <w:sz w:val="16"/>
                <w:szCs w:val="16"/>
                <w:lang w:val="nl-BE"/>
              </w:rPr>
              <w:t xml:space="preserve">De van toepassing zijnde nettarieven per klantengroep zijn te raadplegen op de website van de DNB. Deze zijn periodiek </w:t>
            </w:r>
            <w:proofErr w:type="spellStart"/>
            <w:r w:rsidRPr="00756920">
              <w:rPr>
                <w:i/>
                <w:sz w:val="16"/>
                <w:szCs w:val="16"/>
                <w:lang w:val="nl-BE"/>
              </w:rPr>
              <w:t>wijzigbaar</w:t>
            </w:r>
            <w:proofErr w:type="spellEnd"/>
            <w:r w:rsidRPr="00756920">
              <w:rPr>
                <w:i/>
                <w:sz w:val="16"/>
                <w:szCs w:val="16"/>
                <w:lang w:val="nl-BE"/>
              </w:rPr>
              <w:t xml:space="preserve"> ingevolge eventuele nieuwe of wijzigende tariefbeslissingen van de VREG. De gewijzigde tarieven zijn in dat geval onmiddellijk van toepassing op de bestaande Aansluiting.</w:t>
            </w:r>
          </w:p>
        </w:tc>
      </w:tr>
      <w:tr w:rsidR="00C749C1" w:rsidRPr="00376791" w14:paraId="74C217B9" w14:textId="77777777" w:rsidTr="001B6B3B">
        <w:trPr>
          <w:trHeight w:val="340"/>
        </w:trPr>
        <w:tc>
          <w:tcPr>
            <w:tcW w:w="2532" w:type="dxa"/>
            <w:tcMar>
              <w:top w:w="113" w:type="dxa"/>
              <w:bottom w:w="57" w:type="dxa"/>
            </w:tcMar>
            <w:vAlign w:val="center"/>
          </w:tcPr>
          <w:p w14:paraId="1EA3B791" w14:textId="77777777" w:rsidR="00C749C1" w:rsidRPr="00860001" w:rsidRDefault="00C749C1" w:rsidP="004615F5">
            <w:pPr>
              <w:tabs>
                <w:tab w:val="left" w:pos="1134"/>
                <w:tab w:val="left" w:pos="2835"/>
              </w:tabs>
              <w:rPr>
                <w:b/>
              </w:rPr>
            </w:pPr>
            <w:proofErr w:type="spellStart"/>
            <w:r w:rsidRPr="00860001">
              <w:rPr>
                <w:b/>
              </w:rPr>
              <w:t>Toepassingsgebied</w:t>
            </w:r>
            <w:proofErr w:type="spellEnd"/>
            <w:r w:rsidR="00860001" w:rsidRPr="00860001">
              <w:rPr>
                <w:b/>
              </w:rPr>
              <w:t>:</w:t>
            </w:r>
          </w:p>
        </w:tc>
        <w:tc>
          <w:tcPr>
            <w:tcW w:w="6789" w:type="dxa"/>
            <w:gridSpan w:val="2"/>
            <w:tcMar>
              <w:top w:w="113" w:type="dxa"/>
              <w:bottom w:w="57" w:type="dxa"/>
            </w:tcMar>
            <w:vAlign w:val="center"/>
          </w:tcPr>
          <w:p w14:paraId="09C5ED0D" w14:textId="77777777" w:rsidR="00C749C1" w:rsidRPr="00860001" w:rsidRDefault="00C749C1" w:rsidP="004615F5">
            <w:pPr>
              <w:rPr>
                <w:lang w:val="nl-BE"/>
              </w:rPr>
            </w:pPr>
            <w:r w:rsidRPr="00860001">
              <w:rPr>
                <w:lang w:val="nl-BE"/>
              </w:rPr>
              <w:t xml:space="preserve">De afname van gas wordt gebruikt voor: </w:t>
            </w:r>
            <w:r w:rsidRPr="00845C2A">
              <w:rPr>
                <w:color w:val="548DD4" w:themeColor="text2" w:themeTint="99"/>
                <w:lang w:val="nl-BE"/>
              </w:rPr>
              <w:t>(schrappen wat niet past)</w:t>
            </w:r>
          </w:p>
          <w:p w14:paraId="63952999" w14:textId="77777777" w:rsidR="00B9267C" w:rsidRDefault="00B9267C" w:rsidP="008F61D1">
            <w:pPr>
              <w:pStyle w:val="Lijstalinea"/>
              <w:numPr>
                <w:ilvl w:val="1"/>
                <w:numId w:val="5"/>
              </w:numPr>
              <w:adjustRightInd/>
              <w:contextualSpacing w:val="0"/>
            </w:pPr>
            <w:proofErr w:type="spellStart"/>
            <w:r>
              <w:t>Verwarming</w:t>
            </w:r>
            <w:proofErr w:type="spellEnd"/>
            <w:r>
              <w:t xml:space="preserve"> (</w:t>
            </w:r>
            <w:proofErr w:type="spellStart"/>
            <w:r>
              <w:t>excl</w:t>
            </w:r>
            <w:proofErr w:type="spellEnd"/>
            <w:r>
              <w:t xml:space="preserve"> WKK)</w:t>
            </w:r>
          </w:p>
          <w:p w14:paraId="6C69B6AF" w14:textId="77777777" w:rsidR="00B9267C" w:rsidRDefault="00B9267C" w:rsidP="008F61D1">
            <w:pPr>
              <w:pStyle w:val="Lijstalinea"/>
              <w:numPr>
                <w:ilvl w:val="1"/>
                <w:numId w:val="5"/>
              </w:numPr>
              <w:adjustRightInd/>
              <w:contextualSpacing w:val="0"/>
            </w:pPr>
            <w:proofErr w:type="spellStart"/>
            <w:r>
              <w:t>Industriëel</w:t>
            </w:r>
            <w:proofErr w:type="spellEnd"/>
            <w:r>
              <w:t xml:space="preserve"> </w:t>
            </w:r>
            <w:proofErr w:type="spellStart"/>
            <w:r>
              <w:t>productieproces</w:t>
            </w:r>
            <w:proofErr w:type="spellEnd"/>
            <w:r>
              <w:t xml:space="preserve"> (</w:t>
            </w:r>
            <w:proofErr w:type="spellStart"/>
            <w:r>
              <w:t>excl</w:t>
            </w:r>
            <w:proofErr w:type="spellEnd"/>
            <w:r>
              <w:t xml:space="preserve"> WKK)</w:t>
            </w:r>
          </w:p>
          <w:p w14:paraId="2E924B31" w14:textId="77777777" w:rsidR="00B9267C" w:rsidRDefault="00B9267C" w:rsidP="008F61D1">
            <w:pPr>
              <w:pStyle w:val="Lijstalinea"/>
              <w:numPr>
                <w:ilvl w:val="1"/>
                <w:numId w:val="5"/>
              </w:numPr>
              <w:adjustRightInd/>
              <w:contextualSpacing w:val="0"/>
            </w:pPr>
            <w:r>
              <w:t xml:space="preserve">WKK </w:t>
            </w:r>
            <w:proofErr w:type="spellStart"/>
            <w:r>
              <w:t>voor</w:t>
            </w:r>
            <w:proofErr w:type="spellEnd"/>
            <w:r>
              <w:t xml:space="preserve"> </w:t>
            </w:r>
            <w:proofErr w:type="spellStart"/>
            <w:r>
              <w:t>verwarming</w:t>
            </w:r>
            <w:proofErr w:type="spellEnd"/>
          </w:p>
          <w:p w14:paraId="3D5B54C4" w14:textId="77777777" w:rsidR="00B9267C" w:rsidRDefault="00B9267C" w:rsidP="008F61D1">
            <w:pPr>
              <w:pStyle w:val="Lijstalinea"/>
              <w:numPr>
                <w:ilvl w:val="1"/>
                <w:numId w:val="5"/>
              </w:numPr>
              <w:adjustRightInd/>
              <w:contextualSpacing w:val="0"/>
            </w:pPr>
            <w:r>
              <w:t xml:space="preserve">WKK </w:t>
            </w:r>
            <w:proofErr w:type="spellStart"/>
            <w:r>
              <w:t>voor</w:t>
            </w:r>
            <w:proofErr w:type="spellEnd"/>
            <w:r>
              <w:t xml:space="preserve"> </w:t>
            </w:r>
            <w:proofErr w:type="spellStart"/>
            <w:r>
              <w:t>industrieel</w:t>
            </w:r>
            <w:proofErr w:type="spellEnd"/>
            <w:r>
              <w:t xml:space="preserve"> </w:t>
            </w:r>
            <w:proofErr w:type="spellStart"/>
            <w:r>
              <w:t>productieproces</w:t>
            </w:r>
            <w:proofErr w:type="spellEnd"/>
          </w:p>
          <w:p w14:paraId="12F6B64B" w14:textId="1DBC0E33" w:rsidR="00A51B73" w:rsidRDefault="00A51B73" w:rsidP="008F61D1">
            <w:pPr>
              <w:pStyle w:val="Lijstalinea"/>
              <w:numPr>
                <w:ilvl w:val="1"/>
                <w:numId w:val="5"/>
              </w:numPr>
              <w:adjustRightInd/>
              <w:contextualSpacing w:val="0"/>
            </w:pPr>
            <w:proofErr w:type="spellStart"/>
            <w:r>
              <w:t>Aanmaak</w:t>
            </w:r>
            <w:proofErr w:type="spellEnd"/>
            <w:r>
              <w:t xml:space="preserve"> CNG</w:t>
            </w:r>
          </w:p>
          <w:p w14:paraId="73CFC55B" w14:textId="77777777" w:rsidR="00B9267C" w:rsidRDefault="00B9267C" w:rsidP="008F61D1">
            <w:pPr>
              <w:pStyle w:val="Lijstalinea"/>
              <w:numPr>
                <w:ilvl w:val="1"/>
                <w:numId w:val="5"/>
              </w:numPr>
              <w:adjustRightInd/>
              <w:contextualSpacing w:val="0"/>
            </w:pPr>
            <w:proofErr w:type="spellStart"/>
            <w:r>
              <w:t>Andere</w:t>
            </w:r>
            <w:proofErr w:type="spellEnd"/>
            <w:r>
              <w:t xml:space="preserve"> </w:t>
            </w:r>
          </w:p>
          <w:p w14:paraId="4FD68BE8" w14:textId="78A1C955" w:rsidR="004D1624" w:rsidRPr="00860001" w:rsidRDefault="004D1624" w:rsidP="009C15F6">
            <w:pPr>
              <w:pStyle w:val="Lijstalinea"/>
              <w:rPr>
                <w:color w:val="548DD4" w:themeColor="text2" w:themeTint="99"/>
                <w:lang w:val="nl-BE"/>
              </w:rPr>
            </w:pPr>
          </w:p>
        </w:tc>
      </w:tr>
    </w:tbl>
    <w:p w14:paraId="5515093E" w14:textId="77777777" w:rsidR="00F70F9E" w:rsidRDefault="00F70F9E">
      <w:pPr>
        <w:tabs>
          <w:tab w:val="left" w:pos="1134"/>
        </w:tabs>
        <w:jc w:val="both"/>
        <w:rPr>
          <w:b/>
          <w:bCs/>
          <w:sz w:val="22"/>
          <w:lang w:val="nl-BE"/>
        </w:rPr>
      </w:pPr>
    </w:p>
    <w:p w14:paraId="2310853D" w14:textId="77777777" w:rsidR="004615F5" w:rsidRDefault="004615F5">
      <w:pPr>
        <w:tabs>
          <w:tab w:val="left" w:pos="1134"/>
        </w:tabs>
        <w:jc w:val="both"/>
        <w:rPr>
          <w:b/>
          <w:bCs/>
          <w:sz w:val="22"/>
          <w:lang w:val="nl-BE"/>
        </w:rPr>
      </w:pPr>
    </w:p>
    <w:p w14:paraId="4BD43659" w14:textId="77777777" w:rsidR="004615F5" w:rsidRPr="004615F5" w:rsidRDefault="004615F5" w:rsidP="008F61D1">
      <w:pPr>
        <w:pStyle w:val="Kop2"/>
        <w:numPr>
          <w:ilvl w:val="0"/>
          <w:numId w:val="2"/>
        </w:numPr>
        <w:shd w:val="clear" w:color="auto" w:fill="BFBFBF" w:themeFill="background1" w:themeFillShade="BF"/>
        <w:tabs>
          <w:tab w:val="left" w:pos="1134"/>
        </w:tabs>
        <w:autoSpaceDE/>
        <w:autoSpaceDN/>
        <w:adjustRightInd/>
        <w:ind w:left="919" w:hanging="1146"/>
        <w:jc w:val="left"/>
        <w:rPr>
          <w:sz w:val="24"/>
          <w:lang w:val="nl-BE"/>
        </w:rPr>
      </w:pPr>
      <w:r w:rsidRPr="004615F5">
        <w:rPr>
          <w:sz w:val="24"/>
          <w:lang w:val="nl-BE"/>
        </w:rPr>
        <w:t>Technische kenmerken van de Aansluiting</w:t>
      </w:r>
    </w:p>
    <w:tbl>
      <w:tblPr>
        <w:tblW w:w="8927"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2552"/>
        <w:gridCol w:w="6356"/>
        <w:gridCol w:w="19"/>
      </w:tblGrid>
      <w:tr w:rsidR="004615F5" w:rsidRPr="006B023E" w14:paraId="1F966CB5" w14:textId="77777777" w:rsidTr="009C15F6">
        <w:trPr>
          <w:trHeight w:val="340"/>
        </w:trPr>
        <w:tc>
          <w:tcPr>
            <w:tcW w:w="2552" w:type="dxa"/>
            <w:tcMar>
              <w:top w:w="113" w:type="dxa"/>
              <w:bottom w:w="57" w:type="dxa"/>
            </w:tcMar>
            <w:vAlign w:val="center"/>
          </w:tcPr>
          <w:p w14:paraId="2735CF39" w14:textId="77777777" w:rsidR="004615F5" w:rsidRDefault="004615F5" w:rsidP="004615F5">
            <w:pPr>
              <w:tabs>
                <w:tab w:val="left" w:pos="1134"/>
                <w:tab w:val="left" w:pos="2835"/>
              </w:tabs>
              <w:jc w:val="both"/>
              <w:rPr>
                <w:b/>
                <w:bCs/>
                <w:lang w:val="nl-BE"/>
              </w:rPr>
            </w:pPr>
            <w:r>
              <w:rPr>
                <w:b/>
                <w:bCs/>
                <w:lang w:val="nl-BE"/>
              </w:rPr>
              <w:t>Aansluitingscapaciteit:</w:t>
            </w:r>
          </w:p>
        </w:tc>
        <w:tc>
          <w:tcPr>
            <w:tcW w:w="6375" w:type="dxa"/>
            <w:gridSpan w:val="2"/>
            <w:tcMar>
              <w:top w:w="113" w:type="dxa"/>
              <w:bottom w:w="57" w:type="dxa"/>
            </w:tcMar>
            <w:vAlign w:val="center"/>
          </w:tcPr>
          <w:p w14:paraId="0BA44614" w14:textId="71B5ACB9" w:rsidR="009C10CF" w:rsidRPr="009C15F6" w:rsidRDefault="009C10CF">
            <w:pPr>
              <w:rPr>
                <w:b/>
                <w:u w:val="single"/>
              </w:rPr>
            </w:pPr>
            <w:proofErr w:type="spellStart"/>
            <w:r w:rsidRPr="009C15F6">
              <w:rPr>
                <w:b/>
                <w:u w:val="single"/>
              </w:rPr>
              <w:t>Minimale</w:t>
            </w:r>
            <w:proofErr w:type="spellEnd"/>
            <w:r w:rsidRPr="009C15F6">
              <w:rPr>
                <w:b/>
                <w:u w:val="single"/>
              </w:rPr>
              <w:t xml:space="preserve"> </w:t>
            </w:r>
            <w:proofErr w:type="spellStart"/>
            <w:r w:rsidR="006363A1">
              <w:rPr>
                <w:b/>
                <w:u w:val="single"/>
              </w:rPr>
              <w:t>aanslutingscapaciteit</w:t>
            </w:r>
            <w:proofErr w:type="spellEnd"/>
          </w:p>
          <w:p w14:paraId="38A5D7CF" w14:textId="77777777" w:rsidR="009C10CF" w:rsidRDefault="009C10CF"/>
          <w:p w14:paraId="6D5D9F0F" w14:textId="6D4235F3" w:rsidR="009C10CF" w:rsidRPr="009C15F6" w:rsidRDefault="009C10CF">
            <w:pPr>
              <w:rPr>
                <w:lang w:val="nl-BE"/>
              </w:rPr>
            </w:pPr>
            <w:proofErr w:type="spellStart"/>
            <w:r w:rsidRPr="008866F3">
              <w:rPr>
                <w:rFonts w:ascii="FBAPIO+Arial,Bold" w:hAnsi="FBAPIO+Arial,Bold" w:cs="FBAPIO+Arial,Bold"/>
                <w:b/>
                <w:bCs/>
                <w:color w:val="000000"/>
                <w:lang w:val="nl-BE" w:eastAsia="nl-BE"/>
              </w:rPr>
              <w:t>AC</w:t>
            </w:r>
            <w:r>
              <w:rPr>
                <w:rFonts w:ascii="FBAPIO+Arial,Bold" w:hAnsi="FBAPIO+Arial,Bold" w:cs="FBAPIO+Arial,Bold"/>
                <w:b/>
                <w:bCs/>
                <w:color w:val="000000"/>
                <w:sz w:val="13"/>
                <w:szCs w:val="13"/>
                <w:lang w:val="nl-BE" w:eastAsia="nl-BE"/>
              </w:rPr>
              <w:t>min</w:t>
            </w:r>
            <w:proofErr w:type="spellEnd"/>
            <w:r w:rsidRPr="008866F3">
              <w:rPr>
                <w:rFonts w:ascii="FBAPGL+Arial" w:hAnsi="FBAPGL+Arial" w:cs="FBAPGL+Arial"/>
                <w:color w:val="000000"/>
                <w:lang w:val="nl-BE" w:eastAsia="nl-BE"/>
              </w:rPr>
              <w:t xml:space="preserve">: </w:t>
            </w:r>
            <w:r w:rsidRPr="00845C2A">
              <w:rPr>
                <w:color w:val="548DD4" w:themeColor="text2" w:themeTint="99"/>
                <w:lang w:val="nl-BE"/>
              </w:rPr>
              <w:t>« »</w:t>
            </w:r>
            <w:r w:rsidRPr="00D12BBC">
              <w:rPr>
                <w:rFonts w:cs="Arial"/>
                <w:color w:val="000000"/>
                <w:lang w:val="nl-BE"/>
              </w:rPr>
              <w:t xml:space="preserve"> </w:t>
            </w:r>
            <w:r w:rsidRPr="008866F3">
              <w:rPr>
                <w:rFonts w:ascii="FBAPGL+Arial" w:hAnsi="FBAPGL+Arial" w:cs="FBAPGL+Arial"/>
                <w:color w:val="000000"/>
                <w:lang w:val="nl-BE" w:eastAsia="nl-BE"/>
              </w:rPr>
              <w:t xml:space="preserve">m³(n)/h </w:t>
            </w:r>
            <w:r w:rsidR="006363A1">
              <w:rPr>
                <w:rFonts w:ascii="FBAPGL+Arial" w:hAnsi="FBAPGL+Arial" w:cs="FBAPGL+Arial"/>
                <w:color w:val="000000"/>
                <w:lang w:val="nl-BE" w:eastAsia="nl-BE"/>
              </w:rPr>
              <w:t xml:space="preserve">   (</w:t>
            </w:r>
            <w:r>
              <w:rPr>
                <w:rFonts w:ascii="FBAPGL+Arial" w:hAnsi="FBAPGL+Arial" w:cs="FBAPGL+Arial"/>
                <w:color w:val="000000"/>
                <w:lang w:val="nl-BE" w:eastAsia="nl-BE"/>
              </w:rPr>
              <w:t xml:space="preserve">bepaald door nauwkeurigheidsbereik van de meetinrichting) </w:t>
            </w:r>
          </w:p>
          <w:p w14:paraId="4D3F35C2" w14:textId="77777777" w:rsidR="009C10CF" w:rsidRPr="009C15F6" w:rsidRDefault="009C10CF">
            <w:pPr>
              <w:rPr>
                <w:lang w:val="nl-BE"/>
              </w:rPr>
            </w:pPr>
          </w:p>
          <w:p w14:paraId="0D792D2D" w14:textId="77777777" w:rsidR="009C10CF" w:rsidRPr="009C15F6" w:rsidRDefault="009C10CF">
            <w:pPr>
              <w:rPr>
                <w:lang w:val="nl-BE"/>
              </w:rPr>
            </w:pPr>
          </w:p>
          <w:p w14:paraId="5AA85391" w14:textId="61B03628" w:rsidR="009C10CF" w:rsidRPr="009C15F6" w:rsidRDefault="009C10CF">
            <w:pPr>
              <w:rPr>
                <w:b/>
                <w:u w:val="single"/>
              </w:rPr>
            </w:pPr>
            <w:proofErr w:type="spellStart"/>
            <w:r w:rsidRPr="009C15F6">
              <w:rPr>
                <w:b/>
                <w:u w:val="single"/>
              </w:rPr>
              <w:t>Maximale</w:t>
            </w:r>
            <w:proofErr w:type="spellEnd"/>
            <w:r w:rsidRPr="009C15F6">
              <w:rPr>
                <w:b/>
                <w:u w:val="single"/>
              </w:rPr>
              <w:t xml:space="preserve"> </w:t>
            </w:r>
            <w:proofErr w:type="spellStart"/>
            <w:r w:rsidR="00EA2348">
              <w:rPr>
                <w:b/>
                <w:u w:val="single"/>
              </w:rPr>
              <w:t>aansluitingscapaciteit</w:t>
            </w:r>
            <w:proofErr w:type="spellEnd"/>
            <w:r w:rsidR="00EA2348">
              <w:rPr>
                <w:b/>
                <w:u w:val="single"/>
              </w:rPr>
              <w:t>:</w:t>
            </w:r>
          </w:p>
          <w:p w14:paraId="628594C3" w14:textId="77777777" w:rsidR="009C10CF" w:rsidRDefault="009C10CF"/>
          <w:tbl>
            <w:tblPr>
              <w:tblW w:w="0" w:type="auto"/>
              <w:tblBorders>
                <w:top w:val="nil"/>
                <w:left w:val="nil"/>
                <w:bottom w:val="nil"/>
                <w:right w:val="nil"/>
              </w:tblBorders>
              <w:tblLook w:val="0000" w:firstRow="0" w:lastRow="0" w:firstColumn="0" w:lastColumn="0" w:noHBand="0" w:noVBand="0"/>
            </w:tblPr>
            <w:tblGrid>
              <w:gridCol w:w="5287"/>
            </w:tblGrid>
            <w:tr w:rsidR="004615F5" w:rsidRPr="006B023E" w14:paraId="21811BCA" w14:textId="77777777" w:rsidTr="004615F5">
              <w:trPr>
                <w:trHeight w:val="370"/>
              </w:trPr>
              <w:tc>
                <w:tcPr>
                  <w:tcW w:w="0" w:type="auto"/>
                  <w:vAlign w:val="center"/>
                </w:tcPr>
                <w:p w14:paraId="565B7DD8" w14:textId="401A8D99" w:rsidR="004615F5" w:rsidRPr="008866F3" w:rsidRDefault="004615F5" w:rsidP="003E6994">
                  <w:pPr>
                    <w:ind w:left="34"/>
                    <w:rPr>
                      <w:rFonts w:ascii="FBAPGL+Arial" w:hAnsi="FBAPGL+Arial" w:cs="FBAPGL+Arial"/>
                      <w:color w:val="000000"/>
                      <w:lang w:val="nl-BE" w:eastAsia="nl-BE"/>
                    </w:rPr>
                  </w:pPr>
                  <w:r w:rsidRPr="008866F3">
                    <w:rPr>
                      <w:rFonts w:ascii="FBAPIO+Arial,Bold" w:hAnsi="FBAPIO+Arial,Bold" w:cs="FBAPIO+Arial,Bold"/>
                      <w:b/>
                      <w:bCs/>
                      <w:color w:val="000000"/>
                      <w:lang w:val="nl-BE" w:eastAsia="nl-BE"/>
                    </w:rPr>
                    <w:t>AC</w:t>
                  </w:r>
                  <w:r w:rsidRPr="008866F3">
                    <w:rPr>
                      <w:rFonts w:ascii="FBAPIO+Arial,Bold" w:hAnsi="FBAPIO+Arial,Bold" w:cs="FBAPIO+Arial,Bold"/>
                      <w:b/>
                      <w:bCs/>
                      <w:color w:val="000000"/>
                      <w:position w:val="-4"/>
                      <w:vertAlign w:val="subscript"/>
                      <w:lang w:val="nl-BE" w:eastAsia="nl-BE"/>
                    </w:rPr>
                    <w:t>T</w:t>
                  </w:r>
                  <w:r w:rsidRPr="008866F3">
                    <w:rPr>
                      <w:rFonts w:ascii="FBAPGL+Arial" w:hAnsi="FBAPGL+Arial" w:cs="FBAPGL+Arial"/>
                      <w:color w:val="000000"/>
                      <w:lang w:val="nl-BE" w:eastAsia="nl-BE"/>
                    </w:rPr>
                    <w:t xml:space="preserve">: </w:t>
                  </w:r>
                  <w:r w:rsidRPr="00845C2A">
                    <w:rPr>
                      <w:color w:val="548DD4" w:themeColor="text2" w:themeTint="99"/>
                      <w:lang w:val="nl-BE"/>
                    </w:rPr>
                    <w:t>« »</w:t>
                  </w:r>
                  <w:r w:rsidRPr="00D12BBC">
                    <w:rPr>
                      <w:rFonts w:cs="Arial"/>
                      <w:color w:val="000000"/>
                      <w:lang w:val="nl-BE"/>
                    </w:rPr>
                    <w:t xml:space="preserve"> </w:t>
                  </w:r>
                  <w:r w:rsidRPr="008866F3">
                    <w:rPr>
                      <w:rFonts w:ascii="FBAPGL+Arial" w:hAnsi="FBAPGL+Arial" w:cs="FBAPGL+Arial"/>
                      <w:color w:val="000000"/>
                      <w:lang w:val="nl-BE" w:eastAsia="nl-BE"/>
                    </w:rPr>
                    <w:t xml:space="preserve">m³(n)/h (totale aansluitingscapaciteit ) </w:t>
                  </w:r>
                </w:p>
                <w:p w14:paraId="0EF7B3E5" w14:textId="55B70417" w:rsidR="004615F5" w:rsidRPr="008866F3" w:rsidRDefault="004615F5" w:rsidP="003E6994">
                  <w:pPr>
                    <w:ind w:left="34"/>
                    <w:rPr>
                      <w:rFonts w:ascii="FBAPGL+Arial" w:hAnsi="FBAPGL+Arial" w:cs="FBAPGL+Arial"/>
                      <w:color w:val="000000"/>
                      <w:lang w:val="nl-BE" w:eastAsia="nl-BE"/>
                    </w:rPr>
                  </w:pPr>
                  <w:r w:rsidRPr="008866F3">
                    <w:rPr>
                      <w:rFonts w:ascii="FBAPIO+Arial,Bold" w:hAnsi="FBAPIO+Arial,Bold" w:cs="FBAPIO+Arial,Bold"/>
                      <w:b/>
                      <w:bCs/>
                      <w:color w:val="000000"/>
                      <w:lang w:val="nl-BE" w:eastAsia="nl-BE"/>
                    </w:rPr>
                    <w:t>AC</w:t>
                  </w:r>
                  <w:r w:rsidRPr="008866F3">
                    <w:rPr>
                      <w:rFonts w:ascii="FBAPIO+Arial,Bold" w:hAnsi="FBAPIO+Arial,Bold" w:cs="FBAPIO+Arial,Bold"/>
                      <w:b/>
                      <w:bCs/>
                      <w:color w:val="000000"/>
                      <w:position w:val="-4"/>
                      <w:vertAlign w:val="subscript"/>
                      <w:lang w:val="nl-BE" w:eastAsia="nl-BE"/>
                    </w:rPr>
                    <w:t>V</w:t>
                  </w:r>
                  <w:r w:rsidRPr="008866F3">
                    <w:rPr>
                      <w:rFonts w:ascii="FBAPGL+Arial" w:hAnsi="FBAPGL+Arial" w:cs="FBAPGL+Arial"/>
                      <w:color w:val="000000"/>
                      <w:lang w:val="nl-BE" w:eastAsia="nl-BE"/>
                    </w:rPr>
                    <w:t xml:space="preserve">: </w:t>
                  </w:r>
                  <w:r w:rsidRPr="00845C2A">
                    <w:rPr>
                      <w:color w:val="548DD4" w:themeColor="text2" w:themeTint="99"/>
                      <w:lang w:val="nl-BE"/>
                    </w:rPr>
                    <w:t>« »</w:t>
                  </w:r>
                  <w:r w:rsidRPr="00D12BBC">
                    <w:rPr>
                      <w:rFonts w:cs="Arial"/>
                      <w:color w:val="000000"/>
                      <w:lang w:val="nl-BE"/>
                    </w:rPr>
                    <w:t xml:space="preserve"> </w:t>
                  </w:r>
                  <w:r w:rsidRPr="008866F3">
                    <w:rPr>
                      <w:rFonts w:ascii="FBAPGL+Arial" w:hAnsi="FBAPGL+Arial" w:cs="FBAPGL+Arial"/>
                      <w:color w:val="000000"/>
                      <w:lang w:val="nl-BE" w:eastAsia="nl-BE"/>
                    </w:rPr>
                    <w:t xml:space="preserve">m³(n)/h (vaste aansluitingscapaciteit ) </w:t>
                  </w:r>
                </w:p>
                <w:p w14:paraId="4FBD054C" w14:textId="6924DA91" w:rsidR="004615F5" w:rsidRPr="008866F3" w:rsidRDefault="004615F5" w:rsidP="003E6994">
                  <w:pPr>
                    <w:ind w:left="34"/>
                    <w:rPr>
                      <w:rFonts w:ascii="FBAPGL+Arial" w:hAnsi="FBAPGL+Arial" w:cs="FBAPGL+Arial"/>
                      <w:color w:val="000000"/>
                      <w:lang w:val="nl-BE" w:eastAsia="nl-BE"/>
                    </w:rPr>
                  </w:pPr>
                  <w:r w:rsidRPr="008866F3">
                    <w:rPr>
                      <w:rFonts w:ascii="FBAPIO+Arial,Bold" w:hAnsi="FBAPIO+Arial,Bold" w:cs="FBAPIO+Arial,Bold"/>
                      <w:b/>
                      <w:bCs/>
                      <w:color w:val="000000"/>
                      <w:lang w:val="nl-BE" w:eastAsia="nl-BE"/>
                    </w:rPr>
                    <w:t>AC</w:t>
                  </w:r>
                  <w:r w:rsidRPr="008866F3">
                    <w:rPr>
                      <w:rFonts w:ascii="FBAPIO+Arial,Bold" w:hAnsi="FBAPIO+Arial,Bold" w:cs="FBAPIO+Arial,Bold"/>
                      <w:b/>
                      <w:bCs/>
                      <w:color w:val="000000"/>
                      <w:sz w:val="13"/>
                      <w:szCs w:val="13"/>
                      <w:lang w:val="nl-BE" w:eastAsia="nl-BE"/>
                    </w:rPr>
                    <w:t>O</w:t>
                  </w:r>
                  <w:r w:rsidRPr="008866F3">
                    <w:rPr>
                      <w:rFonts w:ascii="FBAPGL+Arial" w:hAnsi="FBAPGL+Arial" w:cs="FBAPGL+Arial"/>
                      <w:color w:val="000000"/>
                      <w:lang w:val="nl-BE" w:eastAsia="nl-BE"/>
                    </w:rPr>
                    <w:t xml:space="preserve">: </w:t>
                  </w:r>
                  <w:r w:rsidRPr="00845C2A">
                    <w:rPr>
                      <w:color w:val="548DD4" w:themeColor="text2" w:themeTint="99"/>
                      <w:lang w:val="nl-BE"/>
                    </w:rPr>
                    <w:t>« »</w:t>
                  </w:r>
                  <w:r w:rsidRPr="00D12BBC">
                    <w:rPr>
                      <w:rFonts w:cs="Arial"/>
                      <w:color w:val="000000"/>
                      <w:lang w:val="nl-BE"/>
                    </w:rPr>
                    <w:t xml:space="preserve"> </w:t>
                  </w:r>
                  <w:r w:rsidRPr="008866F3">
                    <w:rPr>
                      <w:rFonts w:ascii="FBAPGL+Arial" w:hAnsi="FBAPGL+Arial" w:cs="FBAPGL+Arial"/>
                      <w:color w:val="000000"/>
                      <w:lang w:val="nl-BE" w:eastAsia="nl-BE"/>
                    </w:rPr>
                    <w:t>m³(n)/h (onderbreekbare aansluitingscapaciteit</w:t>
                  </w:r>
                  <w:r w:rsidR="003E6994">
                    <w:rPr>
                      <w:rFonts w:ascii="FBAPGL+Arial" w:hAnsi="FBAPGL+Arial" w:cs="FBAPGL+Arial"/>
                      <w:color w:val="000000"/>
                      <w:lang w:val="nl-BE" w:eastAsia="nl-BE"/>
                    </w:rPr>
                    <w:t>)</w:t>
                  </w:r>
                  <w:r w:rsidRPr="008866F3">
                    <w:rPr>
                      <w:rFonts w:ascii="FBAPGL+Arial" w:hAnsi="FBAPGL+Arial" w:cs="FBAPGL+Arial"/>
                      <w:color w:val="000000"/>
                      <w:lang w:val="nl-BE" w:eastAsia="nl-BE"/>
                    </w:rPr>
                    <w:t xml:space="preserve">  </w:t>
                  </w:r>
                </w:p>
              </w:tc>
            </w:tr>
          </w:tbl>
          <w:p w14:paraId="7113CC6D" w14:textId="7B536B0E" w:rsidR="004615F5" w:rsidRPr="003E6994" w:rsidRDefault="004615F5" w:rsidP="009C15F6">
            <w:pPr>
              <w:tabs>
                <w:tab w:val="left" w:pos="1134"/>
                <w:tab w:val="left" w:pos="2835"/>
              </w:tabs>
              <w:ind w:left="34"/>
              <w:jc w:val="both"/>
              <w:rPr>
                <w:lang w:val="nl-BE"/>
              </w:rPr>
            </w:pPr>
          </w:p>
        </w:tc>
      </w:tr>
      <w:tr w:rsidR="004615F5" w:rsidRPr="006B023E" w14:paraId="24D0979C" w14:textId="77777777" w:rsidTr="009C15F6">
        <w:trPr>
          <w:trHeight w:val="340"/>
        </w:trPr>
        <w:tc>
          <w:tcPr>
            <w:tcW w:w="2552" w:type="dxa"/>
            <w:tcMar>
              <w:top w:w="113" w:type="dxa"/>
              <w:bottom w:w="57" w:type="dxa"/>
            </w:tcMar>
            <w:vAlign w:val="center"/>
          </w:tcPr>
          <w:p w14:paraId="68D52003" w14:textId="4D54E9DA" w:rsidR="004615F5" w:rsidRDefault="00612ECB" w:rsidP="004615F5">
            <w:pPr>
              <w:rPr>
                <w:rFonts w:cs="FBAPIO+Arial,Bold"/>
                <w:color w:val="000000"/>
              </w:rPr>
            </w:pPr>
            <w:proofErr w:type="spellStart"/>
            <w:r>
              <w:rPr>
                <w:rFonts w:cs="FBAPIO+Arial,Bold"/>
                <w:b/>
                <w:bCs/>
                <w:color w:val="000000"/>
              </w:rPr>
              <w:t>C</w:t>
            </w:r>
            <w:r w:rsidR="004615F5">
              <w:rPr>
                <w:rFonts w:cs="FBAPIO+Arial,Bold"/>
                <w:b/>
                <w:bCs/>
                <w:color w:val="000000"/>
              </w:rPr>
              <w:t>abine</w:t>
            </w:r>
            <w:proofErr w:type="spellEnd"/>
            <w:r w:rsidR="00F42805">
              <w:rPr>
                <w:rFonts w:cs="FBAPIO+Arial,Bold"/>
                <w:b/>
                <w:bCs/>
                <w:color w:val="000000"/>
              </w:rPr>
              <w:t xml:space="preserve"> en </w:t>
            </w:r>
            <w:proofErr w:type="spellStart"/>
            <w:r w:rsidR="00F42805">
              <w:rPr>
                <w:rFonts w:cs="FBAPIO+Arial,Bold"/>
                <w:b/>
                <w:bCs/>
                <w:color w:val="000000"/>
              </w:rPr>
              <w:t>leveringsdruk</w:t>
            </w:r>
            <w:proofErr w:type="spellEnd"/>
            <w:r w:rsidR="004615F5">
              <w:rPr>
                <w:rFonts w:cs="FBAPIO+Arial,Bold"/>
                <w:b/>
                <w:bCs/>
                <w:color w:val="000000"/>
              </w:rPr>
              <w:t xml:space="preserve">: </w:t>
            </w:r>
          </w:p>
          <w:p w14:paraId="5339FF23" w14:textId="77777777" w:rsidR="004615F5" w:rsidRDefault="004615F5" w:rsidP="004615F5">
            <w:pPr>
              <w:tabs>
                <w:tab w:val="left" w:pos="1134"/>
                <w:tab w:val="left" w:pos="2835"/>
              </w:tabs>
              <w:rPr>
                <w:b/>
                <w:bCs/>
                <w:lang w:val="nl-BE"/>
              </w:rPr>
            </w:pPr>
          </w:p>
        </w:tc>
        <w:tc>
          <w:tcPr>
            <w:tcW w:w="6375" w:type="dxa"/>
            <w:gridSpan w:val="2"/>
            <w:tcMar>
              <w:top w:w="113" w:type="dxa"/>
              <w:bottom w:w="57" w:type="dxa"/>
            </w:tcMar>
            <w:vAlign w:val="center"/>
          </w:tcPr>
          <w:p w14:paraId="72FDB8B4" w14:textId="77777777" w:rsidR="004615F5" w:rsidRPr="008866F3" w:rsidRDefault="004615F5" w:rsidP="004615F5">
            <w:pPr>
              <w:jc w:val="both"/>
              <w:rPr>
                <w:rFonts w:cs="FBAPGL+Arial"/>
                <w:color w:val="000000"/>
                <w:lang w:val="nl-BE"/>
              </w:rPr>
            </w:pPr>
            <w:r w:rsidRPr="008866F3">
              <w:rPr>
                <w:rFonts w:cs="FBAPGL+Arial"/>
                <w:color w:val="000000"/>
                <w:lang w:val="nl-BE"/>
              </w:rPr>
              <w:t xml:space="preserve">Aangesloten op MD-net: </w:t>
            </w:r>
          </w:p>
          <w:p w14:paraId="4902ED85" w14:textId="3B14A37F" w:rsidR="004615F5" w:rsidRPr="00BA3827" w:rsidRDefault="002B52EE" w:rsidP="004615F5">
            <w:pPr>
              <w:jc w:val="both"/>
              <w:rPr>
                <w:rFonts w:cs="FBAPGL+Arial"/>
                <w:color w:val="000000"/>
                <w:lang w:val="nl-BE"/>
              </w:rPr>
            </w:pPr>
            <w:r>
              <w:rPr>
                <w:rFonts w:ascii="FBAPIO+Arial,Bold" w:hAnsi="FBAPIO+Arial,Bold" w:cs="FBAPIO+Arial,Bold"/>
                <w:b/>
                <w:bCs/>
                <w:color w:val="000000"/>
                <w:lang w:val="nl-BE"/>
              </w:rPr>
              <w:t xml:space="preserve">- </w:t>
            </w:r>
            <w:r w:rsidR="004615F5" w:rsidRPr="00BA3827">
              <w:rPr>
                <w:rFonts w:ascii="FBAPIO+Arial,Bold" w:hAnsi="FBAPIO+Arial,Bold" w:cs="FBAPIO+Arial,Bold"/>
                <w:b/>
                <w:bCs/>
                <w:color w:val="000000"/>
                <w:lang w:val="nl-BE"/>
              </w:rPr>
              <w:t>Normale leveringsdruk uitlaat cabine</w:t>
            </w:r>
            <w:r w:rsidR="004615F5" w:rsidRPr="00BA3827">
              <w:rPr>
                <w:rFonts w:cs="FBAPGL+Arial"/>
                <w:color w:val="000000"/>
                <w:lang w:val="nl-BE"/>
              </w:rPr>
              <w:t xml:space="preserve">: </w:t>
            </w:r>
            <w:r w:rsidR="004615F5" w:rsidRPr="00845C2A">
              <w:rPr>
                <w:color w:val="548DD4" w:themeColor="text2" w:themeTint="99"/>
                <w:lang w:val="nl-BE"/>
              </w:rPr>
              <w:t>« »</w:t>
            </w:r>
            <w:r w:rsidR="00845C2A">
              <w:rPr>
                <w:color w:val="548DD4" w:themeColor="text2" w:themeTint="99"/>
                <w:lang w:val="nl-BE"/>
              </w:rPr>
              <w:t xml:space="preserve"> </w:t>
            </w:r>
            <w:r w:rsidR="004615F5" w:rsidRPr="00BA3827">
              <w:rPr>
                <w:rFonts w:cs="FBAPGL+Arial"/>
                <w:color w:val="000000"/>
                <w:lang w:val="nl-BE"/>
              </w:rPr>
              <w:t xml:space="preserve">bar </w:t>
            </w:r>
          </w:p>
          <w:p w14:paraId="3A7CCC31" w14:textId="7D14F14A" w:rsidR="002B52EE" w:rsidRDefault="002B52EE" w:rsidP="002B52EE">
            <w:pPr>
              <w:tabs>
                <w:tab w:val="left" w:pos="1134"/>
                <w:tab w:val="left" w:pos="2835"/>
              </w:tabs>
              <w:jc w:val="both"/>
              <w:rPr>
                <w:rFonts w:cs="FBAPGL+Arial"/>
                <w:color w:val="000000"/>
                <w:lang w:val="nl-BE"/>
              </w:rPr>
            </w:pPr>
            <w:r>
              <w:rPr>
                <w:rFonts w:cs="FBAPGL+Arial"/>
                <w:color w:val="000000"/>
                <w:lang w:val="nl-BE"/>
              </w:rPr>
              <w:t>- U</w:t>
            </w:r>
            <w:r w:rsidR="004615F5" w:rsidRPr="008866F3">
              <w:rPr>
                <w:rFonts w:cs="FBAPGL+Arial"/>
                <w:color w:val="000000"/>
                <w:lang w:val="nl-BE"/>
              </w:rPr>
              <w:t xml:space="preserve">itrusting: EL = </w:t>
            </w:r>
            <w:proofErr w:type="spellStart"/>
            <w:r w:rsidR="004615F5" w:rsidRPr="008866F3">
              <w:rPr>
                <w:rFonts w:cs="FBAPGL+Arial"/>
                <w:color w:val="000000"/>
                <w:lang w:val="nl-BE"/>
              </w:rPr>
              <w:t>enkellijns</w:t>
            </w:r>
            <w:proofErr w:type="spellEnd"/>
            <w:r w:rsidR="004615F5" w:rsidRPr="008866F3">
              <w:rPr>
                <w:rFonts w:cs="FBAPGL+Arial"/>
                <w:color w:val="000000"/>
                <w:lang w:val="nl-BE"/>
              </w:rPr>
              <w:t xml:space="preserve"> / DL = </w:t>
            </w:r>
            <w:proofErr w:type="spellStart"/>
            <w:r w:rsidR="004615F5" w:rsidRPr="008866F3">
              <w:rPr>
                <w:rFonts w:cs="FBAPGL+Arial"/>
                <w:color w:val="000000"/>
                <w:lang w:val="nl-BE"/>
              </w:rPr>
              <w:t>dubbellijns</w:t>
            </w:r>
            <w:proofErr w:type="spellEnd"/>
            <w:r w:rsidR="004615F5" w:rsidRPr="008866F3">
              <w:rPr>
                <w:rFonts w:cs="FBAPGL+Arial"/>
                <w:color w:val="000000"/>
                <w:lang w:val="nl-BE"/>
              </w:rPr>
              <w:t xml:space="preserve"> </w:t>
            </w:r>
            <w:r w:rsidR="00BE76C1" w:rsidRPr="00845C2A">
              <w:rPr>
                <w:color w:val="548DD4" w:themeColor="text2" w:themeTint="99"/>
                <w:lang w:val="nl-BE"/>
              </w:rPr>
              <w:t>(schrappen wat niet past)</w:t>
            </w:r>
          </w:p>
          <w:p w14:paraId="6DDEACB1" w14:textId="7B46566F" w:rsidR="00612ECB" w:rsidRDefault="002B52EE" w:rsidP="002B52EE">
            <w:pPr>
              <w:tabs>
                <w:tab w:val="left" w:pos="1134"/>
                <w:tab w:val="left" w:pos="2835"/>
              </w:tabs>
              <w:jc w:val="both"/>
              <w:rPr>
                <w:rFonts w:cs="FBAPGL+Arial"/>
                <w:color w:val="000000"/>
                <w:lang w:val="nl-BE"/>
              </w:rPr>
            </w:pPr>
            <w:r>
              <w:rPr>
                <w:rFonts w:cs="FBAPGL+Arial"/>
                <w:color w:val="000000"/>
                <w:lang w:val="nl-BE"/>
              </w:rPr>
              <w:t>- Behuizing</w:t>
            </w:r>
            <w:r w:rsidR="004615F5" w:rsidRPr="008866F3">
              <w:rPr>
                <w:rFonts w:cs="FBAPGL+Arial"/>
                <w:color w:val="000000"/>
                <w:lang w:val="nl-BE"/>
              </w:rPr>
              <w:t xml:space="preserve">: </w:t>
            </w:r>
            <w:r w:rsidR="004615F5" w:rsidRPr="00BE76C1">
              <w:rPr>
                <w:color w:val="4F81BD" w:themeColor="accent1"/>
                <w:lang w:val="nl-BE"/>
              </w:rPr>
              <w:t>«Klantcabine»</w:t>
            </w:r>
            <w:r w:rsidR="004615F5" w:rsidRPr="008866F3">
              <w:rPr>
                <w:rFonts w:cs="FBAPGL+Arial"/>
                <w:color w:val="000000"/>
                <w:lang w:val="nl-BE"/>
              </w:rPr>
              <w:t xml:space="preserve"> </w:t>
            </w:r>
          </w:p>
          <w:p w14:paraId="39E7D65B" w14:textId="77777777" w:rsidR="00F42805" w:rsidRDefault="00F42805" w:rsidP="00F42805">
            <w:pPr>
              <w:tabs>
                <w:tab w:val="left" w:pos="1134"/>
                <w:tab w:val="left" w:pos="2835"/>
              </w:tabs>
              <w:jc w:val="both"/>
              <w:rPr>
                <w:lang w:val="nl-BE"/>
              </w:rPr>
            </w:pPr>
          </w:p>
          <w:p w14:paraId="105EEDAC" w14:textId="7351A922" w:rsidR="00F42805" w:rsidRPr="00F42805" w:rsidRDefault="00F42805" w:rsidP="006363A1">
            <w:pPr>
              <w:tabs>
                <w:tab w:val="left" w:pos="1134"/>
                <w:tab w:val="left" w:pos="2835"/>
              </w:tabs>
              <w:jc w:val="both"/>
              <w:rPr>
                <w:lang w:val="nl-BE"/>
              </w:rPr>
            </w:pPr>
            <w:r w:rsidRPr="009C15F6">
              <w:rPr>
                <w:color w:val="4F81BD" w:themeColor="accent1"/>
                <w:lang w:val="nl-BE"/>
              </w:rPr>
              <w:t xml:space="preserve">&lt; bijkomende </w:t>
            </w:r>
            <w:r w:rsidR="006363A1">
              <w:rPr>
                <w:color w:val="4F81BD" w:themeColor="accent1"/>
                <w:lang w:val="nl-BE"/>
              </w:rPr>
              <w:t xml:space="preserve">vermeldingen in geval van </w:t>
            </w:r>
            <w:r w:rsidRPr="009C15F6">
              <w:rPr>
                <w:color w:val="4F81BD" w:themeColor="accent1"/>
                <w:lang w:val="nl-BE"/>
              </w:rPr>
              <w:t>hoge druk / open pijp&gt;</w:t>
            </w:r>
          </w:p>
        </w:tc>
      </w:tr>
      <w:tr w:rsidR="004615F5" w:rsidRPr="006B023E" w14:paraId="28410BBB" w14:textId="77777777" w:rsidTr="009C15F6">
        <w:trPr>
          <w:trHeight w:val="1105"/>
        </w:trPr>
        <w:tc>
          <w:tcPr>
            <w:tcW w:w="2552" w:type="dxa"/>
            <w:tcMar>
              <w:top w:w="113" w:type="dxa"/>
              <w:bottom w:w="57" w:type="dxa"/>
            </w:tcMar>
            <w:vAlign w:val="center"/>
          </w:tcPr>
          <w:p w14:paraId="7154F105" w14:textId="546ED4B0" w:rsidR="004615F5" w:rsidRDefault="00612ECB" w:rsidP="004615F5">
            <w:pPr>
              <w:rPr>
                <w:rFonts w:cs="FBAPIO+Arial,Bold"/>
                <w:color w:val="000000"/>
              </w:rPr>
            </w:pPr>
            <w:proofErr w:type="spellStart"/>
            <w:r>
              <w:rPr>
                <w:rFonts w:cs="FBAPIO+Arial,Bold"/>
                <w:b/>
                <w:bCs/>
                <w:color w:val="000000"/>
              </w:rPr>
              <w:t>G</w:t>
            </w:r>
            <w:r w:rsidR="004615F5">
              <w:rPr>
                <w:rFonts w:cs="FBAPIO+Arial,Bold"/>
                <w:b/>
                <w:bCs/>
                <w:color w:val="000000"/>
              </w:rPr>
              <w:t>asmeter</w:t>
            </w:r>
            <w:proofErr w:type="spellEnd"/>
            <w:r w:rsidR="004615F5">
              <w:rPr>
                <w:rFonts w:cs="FBAPIO+Arial,Bold"/>
                <w:b/>
                <w:bCs/>
                <w:color w:val="000000"/>
              </w:rPr>
              <w:t xml:space="preserve">: </w:t>
            </w:r>
          </w:p>
          <w:p w14:paraId="62AF333E" w14:textId="77777777" w:rsidR="004615F5" w:rsidRDefault="004615F5" w:rsidP="004615F5">
            <w:pPr>
              <w:tabs>
                <w:tab w:val="left" w:pos="1134"/>
                <w:tab w:val="left" w:pos="2835"/>
              </w:tabs>
              <w:rPr>
                <w:b/>
                <w:bCs/>
                <w:lang w:val="nl-BE"/>
              </w:rPr>
            </w:pPr>
          </w:p>
        </w:tc>
        <w:tc>
          <w:tcPr>
            <w:tcW w:w="6375" w:type="dxa"/>
            <w:gridSpan w:val="2"/>
            <w:tcMar>
              <w:top w:w="113" w:type="dxa"/>
              <w:bottom w:w="57" w:type="dxa"/>
            </w:tcMar>
            <w:vAlign w:val="center"/>
          </w:tcPr>
          <w:p w14:paraId="527981C9" w14:textId="69675D57" w:rsidR="00A51B73" w:rsidRPr="00515786" w:rsidRDefault="00A51B73" w:rsidP="004615F5">
            <w:pPr>
              <w:jc w:val="both"/>
              <w:rPr>
                <w:rFonts w:cs="FBAPGL+Arial"/>
                <w:color w:val="000000"/>
                <w:lang w:val="nl-BE"/>
              </w:rPr>
            </w:pPr>
            <w:r>
              <w:rPr>
                <w:color w:val="548DD4" w:themeColor="text2" w:themeTint="99"/>
                <w:lang w:val="nl-BE"/>
              </w:rPr>
              <w:t>-:</w:t>
            </w:r>
            <w:proofErr w:type="spellStart"/>
            <w:r>
              <w:rPr>
                <w:rFonts w:cs="FBAPGL+Arial"/>
                <w:color w:val="000000"/>
                <w:lang w:val="nl-BE"/>
              </w:rPr>
              <w:t>Qmin</w:t>
            </w:r>
            <w:proofErr w:type="spellEnd"/>
            <w:r w:rsidRPr="00515786">
              <w:rPr>
                <w:rFonts w:cs="FBAPGL+Arial"/>
                <w:color w:val="000000"/>
                <w:lang w:val="nl-BE"/>
              </w:rPr>
              <w:t xml:space="preserve">: </w:t>
            </w:r>
            <w:r w:rsidRPr="00BE76C1">
              <w:rPr>
                <w:color w:val="4F81BD" w:themeColor="accent1"/>
                <w:lang w:val="nl-BE"/>
              </w:rPr>
              <w:t>« »</w:t>
            </w:r>
            <w:r w:rsidRPr="00515786">
              <w:rPr>
                <w:rFonts w:cs="Arial"/>
                <w:color w:val="000000"/>
                <w:lang w:val="nl-BE"/>
              </w:rPr>
              <w:t xml:space="preserve"> </w:t>
            </w:r>
            <w:r w:rsidRPr="00515786">
              <w:rPr>
                <w:rFonts w:cs="FBAPGL+Arial"/>
                <w:color w:val="000000"/>
                <w:lang w:val="nl-BE"/>
              </w:rPr>
              <w:t>m³/h</w:t>
            </w:r>
          </w:p>
          <w:p w14:paraId="6E9F48FC" w14:textId="77777777" w:rsidR="004615F5" w:rsidRDefault="004615F5" w:rsidP="004615F5">
            <w:pPr>
              <w:jc w:val="both"/>
              <w:rPr>
                <w:rFonts w:cs="FBAPGL+Arial"/>
                <w:color w:val="000000"/>
                <w:lang w:val="nl-BE"/>
              </w:rPr>
            </w:pPr>
            <w:r w:rsidRPr="00515786">
              <w:rPr>
                <w:rFonts w:ascii="FBAPHN+TimesNewRoman" w:hAnsi="FBAPHN+TimesNewRoman" w:cs="FBAPHN+TimesNewRoman"/>
                <w:color w:val="000000"/>
                <w:lang w:val="nl-BE"/>
              </w:rPr>
              <w:t xml:space="preserve">- </w:t>
            </w:r>
            <w:proofErr w:type="spellStart"/>
            <w:r w:rsidRPr="00515786">
              <w:rPr>
                <w:rFonts w:cs="FBAPGL+Arial"/>
                <w:color w:val="000000"/>
                <w:lang w:val="nl-BE"/>
              </w:rPr>
              <w:t>Qmax</w:t>
            </w:r>
            <w:proofErr w:type="spellEnd"/>
            <w:r w:rsidRPr="00515786">
              <w:rPr>
                <w:rFonts w:cs="FBAPGL+Arial"/>
                <w:color w:val="000000"/>
                <w:lang w:val="nl-BE"/>
              </w:rPr>
              <w:t xml:space="preserve">: </w:t>
            </w:r>
            <w:r w:rsidRPr="00BE76C1">
              <w:rPr>
                <w:color w:val="4F81BD" w:themeColor="accent1"/>
                <w:lang w:val="nl-BE"/>
              </w:rPr>
              <w:t>« »</w:t>
            </w:r>
            <w:r w:rsidRPr="00515786">
              <w:rPr>
                <w:rFonts w:cs="Arial"/>
                <w:color w:val="000000"/>
                <w:lang w:val="nl-BE"/>
              </w:rPr>
              <w:t xml:space="preserve"> </w:t>
            </w:r>
            <w:r w:rsidRPr="00515786">
              <w:rPr>
                <w:rFonts w:cs="FBAPGL+Arial"/>
                <w:color w:val="000000"/>
                <w:lang w:val="nl-BE"/>
              </w:rPr>
              <w:t xml:space="preserve">m³/h </w:t>
            </w:r>
          </w:p>
          <w:p w14:paraId="65E537AF" w14:textId="77777777" w:rsidR="003E6994" w:rsidRDefault="003E6994" w:rsidP="004615F5">
            <w:pPr>
              <w:jc w:val="both"/>
              <w:rPr>
                <w:rFonts w:cs="FBAPGL+Arial"/>
                <w:color w:val="000000"/>
                <w:lang w:val="nl-BE"/>
              </w:rPr>
            </w:pPr>
          </w:p>
          <w:p w14:paraId="3DDC6DF0" w14:textId="77777777" w:rsidR="003E6994" w:rsidRPr="000F68A5" w:rsidRDefault="003E6994" w:rsidP="003E6994">
            <w:pPr>
              <w:rPr>
                <w:color w:val="4F81BD" w:themeColor="accent1"/>
                <w:lang w:val="nl-BE"/>
              </w:rPr>
            </w:pPr>
            <w:proofErr w:type="spellStart"/>
            <w:r>
              <w:rPr>
                <w:rFonts w:cs="FBAPGL+Arial"/>
                <w:color w:val="000000"/>
                <w:lang w:val="nl-BE"/>
              </w:rPr>
              <w:t>Telelezing</w:t>
            </w:r>
            <w:proofErr w:type="spellEnd"/>
            <w:r>
              <w:rPr>
                <w:rFonts w:cs="FBAPGL+Arial"/>
                <w:color w:val="000000"/>
                <w:lang w:val="nl-BE"/>
              </w:rPr>
              <w:t xml:space="preserve">: </w:t>
            </w:r>
            <w:r w:rsidRPr="00BE76C1">
              <w:rPr>
                <w:rFonts w:cs="FBAPGL+Arial"/>
                <w:color w:val="000000"/>
                <w:lang w:val="nl-BE"/>
              </w:rPr>
              <w:t>Ja/neen</w:t>
            </w:r>
            <w:r>
              <w:rPr>
                <w:color w:val="4F81BD" w:themeColor="accent1"/>
                <w:lang w:val="nl-BE"/>
              </w:rPr>
              <w:t xml:space="preserve"> (schrappen wat niet past)</w:t>
            </w:r>
          </w:p>
          <w:p w14:paraId="259632E8" w14:textId="6CE8E66A" w:rsidR="003E6994" w:rsidRPr="00515786" w:rsidRDefault="003E6994" w:rsidP="004615F5">
            <w:pPr>
              <w:jc w:val="both"/>
              <w:rPr>
                <w:rFonts w:cs="FBAPGL+Arial"/>
                <w:color w:val="000000"/>
                <w:lang w:val="nl-BE"/>
              </w:rPr>
            </w:pPr>
          </w:p>
          <w:p w14:paraId="2E5FB21F" w14:textId="23472C36" w:rsidR="001B3482" w:rsidRPr="00860001" w:rsidRDefault="00612ECB" w:rsidP="00B436EF">
            <w:pPr>
              <w:jc w:val="both"/>
              <w:rPr>
                <w:strike/>
                <w:lang w:val="nl-BE"/>
              </w:rPr>
            </w:pPr>
            <w:r w:rsidRPr="00515786" w:rsidDel="00612ECB">
              <w:rPr>
                <w:rFonts w:ascii="FBAPHN+TimesNewRoman" w:hAnsi="FBAPHN+TimesNewRoman" w:cs="FBAPHN+TimesNewRoman"/>
                <w:color w:val="000000"/>
                <w:lang w:val="nl-BE"/>
              </w:rPr>
              <w:t xml:space="preserve"> </w:t>
            </w:r>
          </w:p>
        </w:tc>
      </w:tr>
      <w:tr w:rsidR="004615F5" w:rsidRPr="006B023E" w14:paraId="28F3A6C0" w14:textId="77777777" w:rsidTr="009C15F6">
        <w:trPr>
          <w:trHeight w:val="340"/>
        </w:trPr>
        <w:tc>
          <w:tcPr>
            <w:tcW w:w="2552" w:type="dxa"/>
            <w:tcMar>
              <w:top w:w="113" w:type="dxa"/>
              <w:bottom w:w="57" w:type="dxa"/>
            </w:tcMar>
            <w:vAlign w:val="center"/>
          </w:tcPr>
          <w:p w14:paraId="626BCED0" w14:textId="77777777" w:rsidR="004615F5" w:rsidRDefault="004615F5" w:rsidP="004615F5">
            <w:pPr>
              <w:rPr>
                <w:rFonts w:cs="FBAPIO+Arial,Bold"/>
                <w:color w:val="000000"/>
              </w:rPr>
            </w:pPr>
            <w:r>
              <w:rPr>
                <w:rFonts w:cs="FBAPIO+Arial,Bold"/>
                <w:b/>
                <w:bCs/>
                <w:color w:val="000000"/>
              </w:rPr>
              <w:t xml:space="preserve">Volume </w:t>
            </w:r>
            <w:proofErr w:type="spellStart"/>
            <w:r>
              <w:rPr>
                <w:rFonts w:cs="FBAPIO+Arial,Bold"/>
                <w:b/>
                <w:bCs/>
                <w:color w:val="000000"/>
              </w:rPr>
              <w:t>herleidingsapparaat</w:t>
            </w:r>
            <w:proofErr w:type="spellEnd"/>
            <w:r>
              <w:rPr>
                <w:rFonts w:cs="FBAPIO+Arial,Bold"/>
                <w:b/>
                <w:bCs/>
                <w:color w:val="000000"/>
              </w:rPr>
              <w:t xml:space="preserve">: </w:t>
            </w:r>
          </w:p>
          <w:p w14:paraId="5CE9DF26" w14:textId="77777777" w:rsidR="004615F5" w:rsidRDefault="004615F5" w:rsidP="004615F5">
            <w:pPr>
              <w:tabs>
                <w:tab w:val="left" w:pos="1134"/>
                <w:tab w:val="left" w:pos="2835"/>
              </w:tabs>
              <w:rPr>
                <w:b/>
                <w:bCs/>
                <w:lang w:val="nl-BE"/>
              </w:rPr>
            </w:pPr>
          </w:p>
        </w:tc>
        <w:tc>
          <w:tcPr>
            <w:tcW w:w="6375" w:type="dxa"/>
            <w:gridSpan w:val="2"/>
            <w:tcMar>
              <w:top w:w="113" w:type="dxa"/>
              <w:bottom w:w="57" w:type="dxa"/>
            </w:tcMar>
            <w:vAlign w:val="center"/>
          </w:tcPr>
          <w:p w14:paraId="25F15ECA" w14:textId="1E9E6805" w:rsidR="00BE76C1" w:rsidRPr="000F68A5" w:rsidRDefault="00BE76C1" w:rsidP="00BE76C1">
            <w:pPr>
              <w:rPr>
                <w:color w:val="4F81BD" w:themeColor="accent1"/>
                <w:lang w:val="nl-BE"/>
              </w:rPr>
            </w:pPr>
            <w:r w:rsidRPr="00BE76C1">
              <w:rPr>
                <w:rFonts w:cs="FBAPGL+Arial"/>
                <w:color w:val="000000"/>
                <w:lang w:val="nl-BE"/>
              </w:rPr>
              <w:t>Ja/neen</w:t>
            </w:r>
            <w:r>
              <w:rPr>
                <w:color w:val="4F81BD" w:themeColor="accent1"/>
                <w:lang w:val="nl-BE"/>
              </w:rPr>
              <w:t xml:space="preserve"> (schrappen wat niet past)</w:t>
            </w:r>
          </w:p>
          <w:p w14:paraId="2F068A48" w14:textId="77777777" w:rsidR="004615F5" w:rsidRDefault="004615F5" w:rsidP="004615F5">
            <w:pPr>
              <w:tabs>
                <w:tab w:val="left" w:pos="1134"/>
                <w:tab w:val="left" w:pos="2835"/>
              </w:tabs>
              <w:jc w:val="both"/>
              <w:rPr>
                <w:lang w:val="nl-BE"/>
              </w:rPr>
            </w:pPr>
          </w:p>
        </w:tc>
      </w:tr>
      <w:tr w:rsidR="004615F5" w14:paraId="30308A18" w14:textId="77777777" w:rsidTr="009C15F6">
        <w:trPr>
          <w:trHeight w:val="340"/>
        </w:trPr>
        <w:tc>
          <w:tcPr>
            <w:tcW w:w="2552" w:type="dxa"/>
            <w:tcMar>
              <w:top w:w="113" w:type="dxa"/>
              <w:bottom w:w="57" w:type="dxa"/>
            </w:tcMar>
            <w:vAlign w:val="center"/>
          </w:tcPr>
          <w:p w14:paraId="09F6C8B0" w14:textId="3A3C6E17" w:rsidR="004615F5" w:rsidRDefault="00470A28" w:rsidP="009C15F6">
            <w:pPr>
              <w:rPr>
                <w:b/>
                <w:bCs/>
                <w:lang w:val="nl-BE"/>
              </w:rPr>
            </w:pPr>
            <w:proofErr w:type="spellStart"/>
            <w:r>
              <w:rPr>
                <w:rFonts w:cs="FBAPIO+Arial,Bold"/>
                <w:b/>
                <w:bCs/>
                <w:color w:val="000000"/>
              </w:rPr>
              <w:lastRenderedPageBreak/>
              <w:t>Meterconfiguratie</w:t>
            </w:r>
            <w:proofErr w:type="spellEnd"/>
            <w:r>
              <w:rPr>
                <w:rFonts w:cs="FBAPIO+Arial,Bold"/>
                <w:b/>
                <w:bCs/>
                <w:color w:val="000000"/>
              </w:rPr>
              <w:t xml:space="preserve"> </w:t>
            </w:r>
          </w:p>
        </w:tc>
        <w:tc>
          <w:tcPr>
            <w:tcW w:w="6375" w:type="dxa"/>
            <w:gridSpan w:val="2"/>
            <w:tcMar>
              <w:top w:w="113" w:type="dxa"/>
              <w:bottom w:w="57" w:type="dxa"/>
            </w:tcMar>
            <w:vAlign w:val="center"/>
          </w:tcPr>
          <w:p w14:paraId="5B7DAD07" w14:textId="77777777" w:rsidR="004615F5" w:rsidRDefault="004615F5" w:rsidP="004615F5">
            <w:pPr>
              <w:jc w:val="both"/>
              <w:rPr>
                <w:rFonts w:cs="FBAPGL+Arial"/>
                <w:color w:val="000000"/>
              </w:rPr>
            </w:pPr>
            <w:r>
              <w:rPr>
                <w:rFonts w:cs="FBAPGL+Arial"/>
                <w:color w:val="000000"/>
              </w:rPr>
              <w:t xml:space="preserve">(schema in </w:t>
            </w:r>
            <w:proofErr w:type="spellStart"/>
            <w:r>
              <w:rPr>
                <w:rFonts w:cs="FBAPGL+Arial"/>
                <w:color w:val="000000"/>
              </w:rPr>
              <w:t>bijlage</w:t>
            </w:r>
            <w:proofErr w:type="spellEnd"/>
            <w:r>
              <w:rPr>
                <w:rFonts w:cs="FBAPGL+Arial"/>
                <w:color w:val="000000"/>
              </w:rPr>
              <w:t xml:space="preserve">) </w:t>
            </w:r>
          </w:p>
          <w:p w14:paraId="7F63BC02" w14:textId="77777777" w:rsidR="004615F5" w:rsidRDefault="004615F5" w:rsidP="004615F5">
            <w:pPr>
              <w:tabs>
                <w:tab w:val="left" w:pos="1134"/>
                <w:tab w:val="left" w:pos="2835"/>
              </w:tabs>
              <w:jc w:val="both"/>
              <w:rPr>
                <w:lang w:val="nl-BE"/>
              </w:rPr>
            </w:pPr>
          </w:p>
        </w:tc>
      </w:tr>
      <w:tr w:rsidR="008E3988" w:rsidRPr="00D32539" w14:paraId="1245741D" w14:textId="77777777" w:rsidTr="009C15F6">
        <w:trPr>
          <w:gridAfter w:val="1"/>
          <w:wAfter w:w="19" w:type="dxa"/>
          <w:trHeight w:val="340"/>
        </w:trPr>
        <w:tc>
          <w:tcPr>
            <w:tcW w:w="2552" w:type="dxa"/>
            <w:tcMar>
              <w:top w:w="113" w:type="dxa"/>
              <w:bottom w:w="57" w:type="dxa"/>
            </w:tcMar>
            <w:vAlign w:val="center"/>
          </w:tcPr>
          <w:p w14:paraId="512E8DD0" w14:textId="1E0048A5" w:rsidR="008E3988" w:rsidRPr="00BA3827" w:rsidRDefault="00AD310E" w:rsidP="00AD310E">
            <w:pPr>
              <w:rPr>
                <w:rFonts w:cs="FBAPIO+Arial,Bold"/>
                <w:b/>
                <w:bCs/>
                <w:color w:val="000000"/>
                <w:lang w:val="nl-BE"/>
              </w:rPr>
            </w:pPr>
            <w:r>
              <w:rPr>
                <w:rFonts w:cs="FBAPIO+Arial,Bold"/>
                <w:b/>
                <w:bCs/>
                <w:color w:val="000000"/>
                <w:lang w:val="nl-BE"/>
              </w:rPr>
              <w:t xml:space="preserve">Geleverd </w:t>
            </w:r>
            <w:r w:rsidR="008E3988" w:rsidRPr="00F23797">
              <w:rPr>
                <w:rFonts w:cs="FBAPIO+Arial,Bold"/>
                <w:b/>
                <w:bCs/>
                <w:color w:val="000000"/>
                <w:lang w:val="nl-BE"/>
              </w:rPr>
              <w:t>gas:</w:t>
            </w:r>
          </w:p>
        </w:tc>
        <w:tc>
          <w:tcPr>
            <w:tcW w:w="6356" w:type="dxa"/>
            <w:tcMar>
              <w:top w:w="113" w:type="dxa"/>
              <w:bottom w:w="57" w:type="dxa"/>
            </w:tcMar>
            <w:vAlign w:val="center"/>
          </w:tcPr>
          <w:p w14:paraId="02034F44" w14:textId="72141E8A" w:rsidR="008E3988" w:rsidRPr="008E3988" w:rsidRDefault="008E3988" w:rsidP="008E3988">
            <w:pPr>
              <w:jc w:val="both"/>
              <w:rPr>
                <w:rFonts w:cs="FBAPGL+Arial"/>
                <w:color w:val="000000"/>
                <w:lang w:val="nl-BE"/>
              </w:rPr>
            </w:pPr>
            <w:r w:rsidRPr="008E3988">
              <w:rPr>
                <w:rFonts w:cs="FBAPGL+Arial"/>
                <w:b/>
                <w:color w:val="000000"/>
                <w:lang w:val="nl-BE"/>
              </w:rPr>
              <w:t>Type:</w:t>
            </w:r>
            <w:r w:rsidRPr="008E3988">
              <w:rPr>
                <w:rFonts w:cs="FBAPGL+Arial"/>
                <w:color w:val="000000"/>
                <w:lang w:val="nl-BE"/>
              </w:rPr>
              <w:t xml:space="preserve"> op ogenblik van aansluiting: </w:t>
            </w:r>
            <w:r w:rsidR="00612ECB" w:rsidRPr="00BE76C1">
              <w:rPr>
                <w:color w:val="4F81BD" w:themeColor="accent1"/>
                <w:lang w:val="nl-BE"/>
              </w:rPr>
              <w:t>&lt;&lt;</w:t>
            </w:r>
            <w:r w:rsidRPr="00BE76C1">
              <w:rPr>
                <w:color w:val="4F81BD" w:themeColor="accent1"/>
                <w:lang w:val="nl-BE"/>
              </w:rPr>
              <w:t>laag / hoog calorisch gas</w:t>
            </w:r>
            <w:r w:rsidR="00612ECB" w:rsidRPr="00BE76C1">
              <w:rPr>
                <w:color w:val="4F81BD" w:themeColor="accent1"/>
                <w:lang w:val="nl-BE"/>
              </w:rPr>
              <w:t>&gt;&gt;</w:t>
            </w:r>
          </w:p>
          <w:p w14:paraId="540489FE" w14:textId="77777777" w:rsidR="008E3988" w:rsidRPr="008E3988" w:rsidRDefault="008E3988" w:rsidP="008E3988">
            <w:pPr>
              <w:jc w:val="both"/>
              <w:rPr>
                <w:rFonts w:cs="FBAPGL+Arial"/>
                <w:color w:val="000000"/>
                <w:lang w:val="nl-BE"/>
              </w:rPr>
            </w:pPr>
            <w:r w:rsidRPr="008E3988">
              <w:rPr>
                <w:rFonts w:cs="FBAPGL+Arial"/>
                <w:b/>
                <w:color w:val="000000"/>
                <w:lang w:val="nl-BE"/>
              </w:rPr>
              <w:t>GOS:</w:t>
            </w:r>
            <w:r w:rsidRPr="008E3988">
              <w:rPr>
                <w:rFonts w:cs="FBAPGL+Arial"/>
                <w:color w:val="000000"/>
                <w:lang w:val="nl-BE"/>
              </w:rPr>
              <w:t xml:space="preserve"> op ogenblik van aansluiting: </w:t>
            </w:r>
            <w:r w:rsidRPr="00BE76C1">
              <w:rPr>
                <w:color w:val="4F81BD" w:themeColor="accent1"/>
                <w:lang w:val="nl-BE"/>
              </w:rPr>
              <w:t>&lt;&lt;naam GOS&gt;&gt;</w:t>
            </w:r>
          </w:p>
          <w:p w14:paraId="4D2EA825" w14:textId="77777777" w:rsidR="008E3988" w:rsidRPr="008E3988" w:rsidRDefault="008E3988" w:rsidP="008E3988">
            <w:pPr>
              <w:jc w:val="both"/>
              <w:rPr>
                <w:rFonts w:cs="FBAPGL+Arial"/>
                <w:color w:val="000000"/>
                <w:lang w:val="nl-BE"/>
              </w:rPr>
            </w:pPr>
            <w:r w:rsidRPr="008E3988">
              <w:rPr>
                <w:rFonts w:cs="FBAPGL+Arial"/>
                <w:color w:val="000000"/>
                <w:lang w:val="nl-BE"/>
              </w:rPr>
              <w:t>Het gas is geodoriseerd.</w:t>
            </w:r>
          </w:p>
          <w:p w14:paraId="11F5803E" w14:textId="77777777" w:rsidR="008E3988" w:rsidRPr="00403954" w:rsidRDefault="008E3988" w:rsidP="00403954">
            <w:pPr>
              <w:jc w:val="both"/>
              <w:rPr>
                <w:rFonts w:cs="FBAPGL+Arial"/>
                <w:color w:val="000000"/>
                <w:lang w:val="nl-BE"/>
              </w:rPr>
            </w:pPr>
          </w:p>
        </w:tc>
      </w:tr>
    </w:tbl>
    <w:p w14:paraId="5A2A3A07" w14:textId="77777777" w:rsidR="00F70F9E" w:rsidRDefault="00F70F9E">
      <w:pPr>
        <w:tabs>
          <w:tab w:val="left" w:pos="1134"/>
        </w:tabs>
        <w:jc w:val="both"/>
        <w:rPr>
          <w:b/>
          <w:bCs/>
          <w:sz w:val="22"/>
          <w:lang w:val="nl-BE"/>
        </w:rPr>
      </w:pPr>
    </w:p>
    <w:p w14:paraId="210117B4" w14:textId="77777777" w:rsidR="00AB03D3" w:rsidRDefault="00AB03D3" w:rsidP="00AB03D3">
      <w:pPr>
        <w:tabs>
          <w:tab w:val="left" w:pos="1134"/>
        </w:tabs>
        <w:jc w:val="both"/>
        <w:rPr>
          <w:sz w:val="22"/>
          <w:lang w:val="nl-BE"/>
        </w:rPr>
      </w:pPr>
    </w:p>
    <w:p w14:paraId="41F72337" w14:textId="77777777" w:rsidR="00AB03D3" w:rsidRPr="004615F5" w:rsidRDefault="00AB03D3" w:rsidP="008F61D1">
      <w:pPr>
        <w:pStyle w:val="Kop2"/>
        <w:numPr>
          <w:ilvl w:val="0"/>
          <w:numId w:val="2"/>
        </w:numPr>
        <w:shd w:val="clear" w:color="auto" w:fill="BFBFBF" w:themeFill="background1" w:themeFillShade="BF"/>
        <w:tabs>
          <w:tab w:val="left" w:pos="1134"/>
        </w:tabs>
        <w:autoSpaceDE/>
        <w:autoSpaceDN/>
        <w:adjustRightInd/>
        <w:ind w:left="919" w:hanging="1146"/>
        <w:jc w:val="left"/>
        <w:rPr>
          <w:sz w:val="24"/>
          <w:lang w:val="nl-BE"/>
        </w:rPr>
      </w:pPr>
      <w:r w:rsidRPr="004615F5">
        <w:rPr>
          <w:sz w:val="24"/>
          <w:lang w:val="nl-BE"/>
        </w:rPr>
        <w:t>Specifieke gegevens en afspraken</w:t>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2522"/>
        <w:gridCol w:w="6373"/>
      </w:tblGrid>
      <w:tr w:rsidR="00403954" w:rsidRPr="008866F3" w14:paraId="3C898F31" w14:textId="77777777" w:rsidTr="009C15F6">
        <w:trPr>
          <w:trHeight w:val="340"/>
        </w:trPr>
        <w:tc>
          <w:tcPr>
            <w:tcW w:w="2522" w:type="dxa"/>
            <w:tcMar>
              <w:top w:w="113" w:type="dxa"/>
              <w:bottom w:w="57" w:type="dxa"/>
            </w:tcMar>
            <w:vAlign w:val="center"/>
          </w:tcPr>
          <w:p w14:paraId="410ED21E" w14:textId="77777777" w:rsidR="00403954" w:rsidRDefault="00403954" w:rsidP="00403954">
            <w:pPr>
              <w:jc w:val="both"/>
              <w:rPr>
                <w:rFonts w:cs="FBAPIO+Arial,Bold"/>
                <w:color w:val="000000"/>
              </w:rPr>
            </w:pPr>
            <w:r>
              <w:rPr>
                <w:rFonts w:cs="FBAPIO+Arial,Bold"/>
                <w:b/>
                <w:bCs/>
                <w:color w:val="000000"/>
              </w:rPr>
              <w:t xml:space="preserve">NACE-CODE </w:t>
            </w:r>
            <w:proofErr w:type="spellStart"/>
            <w:r>
              <w:rPr>
                <w:rFonts w:cs="FBAPIO+Arial,Bold"/>
                <w:b/>
                <w:bCs/>
                <w:color w:val="000000"/>
              </w:rPr>
              <w:t>Distributienetgebruiker</w:t>
            </w:r>
            <w:proofErr w:type="spellEnd"/>
            <w:r>
              <w:rPr>
                <w:rFonts w:cs="FBAPIO+Arial,Bold"/>
                <w:b/>
                <w:bCs/>
                <w:color w:val="000000"/>
              </w:rPr>
              <w:t xml:space="preserve"> </w:t>
            </w:r>
          </w:p>
          <w:p w14:paraId="709F9A45" w14:textId="77777777" w:rsidR="00403954" w:rsidRDefault="00403954" w:rsidP="00E63B98">
            <w:pPr>
              <w:tabs>
                <w:tab w:val="left" w:pos="1134"/>
                <w:tab w:val="left" w:pos="2835"/>
              </w:tabs>
              <w:jc w:val="both"/>
              <w:rPr>
                <w:b/>
                <w:bCs/>
                <w:lang w:val="nl-BE"/>
              </w:rPr>
            </w:pPr>
          </w:p>
        </w:tc>
        <w:tc>
          <w:tcPr>
            <w:tcW w:w="6373" w:type="dxa"/>
            <w:tcMar>
              <w:top w:w="113" w:type="dxa"/>
              <w:bottom w:w="57" w:type="dxa"/>
            </w:tcMar>
            <w:vAlign w:val="center"/>
          </w:tcPr>
          <w:tbl>
            <w:tblPr>
              <w:tblW w:w="0" w:type="auto"/>
              <w:tblBorders>
                <w:top w:val="nil"/>
                <w:left w:val="nil"/>
                <w:bottom w:val="nil"/>
                <w:right w:val="nil"/>
              </w:tblBorders>
              <w:tblLook w:val="0000" w:firstRow="0" w:lastRow="0" w:firstColumn="0" w:lastColumn="0" w:noHBand="0" w:noVBand="0"/>
            </w:tblPr>
            <w:tblGrid>
              <w:gridCol w:w="222"/>
            </w:tblGrid>
            <w:tr w:rsidR="00403954" w:rsidRPr="008866F3" w14:paraId="0D3F1EB4" w14:textId="77777777" w:rsidTr="00E63B98">
              <w:trPr>
                <w:trHeight w:val="370"/>
              </w:trPr>
              <w:tc>
                <w:tcPr>
                  <w:tcW w:w="0" w:type="auto"/>
                  <w:vAlign w:val="center"/>
                </w:tcPr>
                <w:p w14:paraId="35EE2CF2" w14:textId="77777777" w:rsidR="00403954" w:rsidRPr="008866F3" w:rsidRDefault="00403954" w:rsidP="00E63B98">
                  <w:pPr>
                    <w:rPr>
                      <w:rFonts w:ascii="FBAPGL+Arial" w:hAnsi="FBAPGL+Arial" w:cs="FBAPGL+Arial"/>
                      <w:color w:val="000000"/>
                      <w:lang w:val="nl-BE" w:eastAsia="nl-BE"/>
                    </w:rPr>
                  </w:pPr>
                  <w:r w:rsidRPr="008866F3">
                    <w:rPr>
                      <w:rFonts w:ascii="FBAPGL+Arial" w:hAnsi="FBAPGL+Arial" w:cs="FBAPGL+Arial"/>
                      <w:color w:val="000000"/>
                      <w:lang w:val="nl-BE" w:eastAsia="nl-BE"/>
                    </w:rPr>
                    <w:t xml:space="preserve"> </w:t>
                  </w:r>
                </w:p>
              </w:tc>
            </w:tr>
          </w:tbl>
          <w:p w14:paraId="49898A40" w14:textId="77777777" w:rsidR="00403954" w:rsidRDefault="00403954" w:rsidP="00E63B98">
            <w:pPr>
              <w:tabs>
                <w:tab w:val="left" w:pos="1134"/>
                <w:tab w:val="left" w:pos="2835"/>
              </w:tabs>
              <w:jc w:val="both"/>
              <w:rPr>
                <w:lang w:val="nl-BE"/>
              </w:rPr>
            </w:pPr>
          </w:p>
        </w:tc>
      </w:tr>
      <w:tr w:rsidR="00403954" w:rsidRPr="006B023E" w14:paraId="2487E64A" w14:textId="77777777" w:rsidTr="009C15F6">
        <w:trPr>
          <w:trHeight w:val="340"/>
        </w:trPr>
        <w:tc>
          <w:tcPr>
            <w:tcW w:w="2522" w:type="dxa"/>
            <w:tcMar>
              <w:top w:w="113" w:type="dxa"/>
              <w:bottom w:w="57" w:type="dxa"/>
            </w:tcMar>
            <w:vAlign w:val="center"/>
          </w:tcPr>
          <w:p w14:paraId="044731C2" w14:textId="77777777" w:rsidR="00403954" w:rsidRPr="00403954" w:rsidRDefault="00403954" w:rsidP="00403954">
            <w:pPr>
              <w:rPr>
                <w:rFonts w:cs="FBAPIO+Arial,Bold"/>
                <w:b/>
                <w:bCs/>
                <w:color w:val="000000"/>
              </w:rPr>
            </w:pPr>
            <w:proofErr w:type="spellStart"/>
            <w:r>
              <w:rPr>
                <w:rFonts w:cs="FBAPIO+Arial,Bold"/>
                <w:b/>
                <w:bCs/>
                <w:color w:val="000000"/>
              </w:rPr>
              <w:t>Eigendomsbepaling</w:t>
            </w:r>
            <w:proofErr w:type="spellEnd"/>
            <w:r>
              <w:rPr>
                <w:rFonts w:cs="FBAPIO+Arial,Bold"/>
                <w:b/>
                <w:bCs/>
                <w:color w:val="000000"/>
              </w:rPr>
              <w:t xml:space="preserve"> </w:t>
            </w:r>
          </w:p>
          <w:p w14:paraId="3A4C829E" w14:textId="77777777" w:rsidR="00403954" w:rsidRPr="00403954" w:rsidRDefault="00403954" w:rsidP="00E63B98">
            <w:pPr>
              <w:tabs>
                <w:tab w:val="left" w:pos="1134"/>
                <w:tab w:val="left" w:pos="2835"/>
              </w:tabs>
              <w:rPr>
                <w:rFonts w:cs="FBAPIO+Arial,Bold"/>
                <w:b/>
                <w:bCs/>
                <w:color w:val="000000"/>
              </w:rPr>
            </w:pPr>
          </w:p>
        </w:tc>
        <w:tc>
          <w:tcPr>
            <w:tcW w:w="6373" w:type="dxa"/>
            <w:tcMar>
              <w:top w:w="113" w:type="dxa"/>
              <w:bottom w:w="57" w:type="dxa"/>
            </w:tcMar>
            <w:vAlign w:val="center"/>
          </w:tcPr>
          <w:p w14:paraId="77EC7FCF" w14:textId="77777777" w:rsidR="00403954" w:rsidRDefault="006363A1" w:rsidP="006363A1">
            <w:pPr>
              <w:jc w:val="both"/>
              <w:rPr>
                <w:color w:val="4F81BD" w:themeColor="accent1"/>
                <w:lang w:val="nl-BE"/>
              </w:rPr>
            </w:pPr>
            <w:r w:rsidRPr="000F450A">
              <w:rPr>
                <w:color w:val="4F81BD" w:themeColor="accent1"/>
                <w:lang w:val="nl-BE"/>
              </w:rPr>
              <w:t xml:space="preserve">&lt; </w:t>
            </w:r>
            <w:r>
              <w:rPr>
                <w:color w:val="4F81BD" w:themeColor="accent1"/>
                <w:lang w:val="nl-BE"/>
              </w:rPr>
              <w:t>conform algemene voorwaarden</w:t>
            </w:r>
            <w:r w:rsidRPr="000F450A">
              <w:rPr>
                <w:color w:val="4F81BD" w:themeColor="accent1"/>
                <w:lang w:val="nl-BE"/>
              </w:rPr>
              <w:t>&gt;</w:t>
            </w:r>
            <w:r>
              <w:rPr>
                <w:color w:val="4F81BD" w:themeColor="accent1"/>
                <w:lang w:val="nl-BE"/>
              </w:rPr>
              <w:t xml:space="preserve"> OFWEL</w:t>
            </w:r>
          </w:p>
          <w:p w14:paraId="243BC882" w14:textId="3A174DD3" w:rsidR="006363A1" w:rsidRPr="006363A1" w:rsidRDefault="006363A1" w:rsidP="006363A1">
            <w:pPr>
              <w:jc w:val="both"/>
              <w:rPr>
                <w:lang w:val="nl-BE"/>
              </w:rPr>
            </w:pPr>
            <w:r>
              <w:rPr>
                <w:color w:val="4F81BD" w:themeColor="accent1"/>
                <w:lang w:val="nl-BE"/>
              </w:rPr>
              <w:t xml:space="preserve">&lt;specifieke vermeldingen </w:t>
            </w:r>
            <w:proofErr w:type="spellStart"/>
            <w:r>
              <w:rPr>
                <w:color w:val="4F81BD" w:themeColor="accent1"/>
                <w:lang w:val="nl-BE"/>
              </w:rPr>
              <w:t>ivm</w:t>
            </w:r>
            <w:proofErr w:type="spellEnd"/>
            <w:r>
              <w:rPr>
                <w:color w:val="4F81BD" w:themeColor="accent1"/>
                <w:lang w:val="nl-BE"/>
              </w:rPr>
              <w:t xml:space="preserve"> eigenaarschap cabine&gt;</w:t>
            </w:r>
          </w:p>
        </w:tc>
      </w:tr>
      <w:tr w:rsidR="00403954" w:rsidRPr="006B023E" w14:paraId="0DCC0068" w14:textId="77777777" w:rsidTr="009C15F6">
        <w:trPr>
          <w:trHeight w:val="340"/>
        </w:trPr>
        <w:tc>
          <w:tcPr>
            <w:tcW w:w="2522" w:type="dxa"/>
            <w:tcMar>
              <w:top w:w="113" w:type="dxa"/>
              <w:bottom w:w="57" w:type="dxa"/>
            </w:tcMar>
            <w:vAlign w:val="center"/>
          </w:tcPr>
          <w:p w14:paraId="0C9A6E2B" w14:textId="46F02AA6" w:rsidR="00403954" w:rsidRPr="00403954" w:rsidRDefault="00403954" w:rsidP="00403954">
            <w:pPr>
              <w:rPr>
                <w:rFonts w:cs="FBAPIO+Arial,Bold"/>
                <w:b/>
                <w:bCs/>
                <w:color w:val="000000"/>
              </w:rPr>
            </w:pPr>
            <w:proofErr w:type="spellStart"/>
            <w:r>
              <w:rPr>
                <w:rFonts w:cs="FBAPIO+Arial,Bold"/>
                <w:b/>
                <w:bCs/>
                <w:color w:val="000000"/>
              </w:rPr>
              <w:t>Exploitatieafspraken</w:t>
            </w:r>
            <w:proofErr w:type="spellEnd"/>
            <w:r>
              <w:rPr>
                <w:rFonts w:cs="FBAPIO+Arial,Bold"/>
                <w:b/>
                <w:bCs/>
                <w:color w:val="000000"/>
              </w:rPr>
              <w:t xml:space="preserve"> </w:t>
            </w:r>
          </w:p>
          <w:p w14:paraId="1B810D76" w14:textId="77777777" w:rsidR="00403954" w:rsidRPr="00403954" w:rsidRDefault="00403954" w:rsidP="00403954">
            <w:pPr>
              <w:rPr>
                <w:rFonts w:cs="FBAPIO+Arial,Bold"/>
                <w:b/>
                <w:bCs/>
                <w:color w:val="000000"/>
              </w:rPr>
            </w:pPr>
          </w:p>
        </w:tc>
        <w:tc>
          <w:tcPr>
            <w:tcW w:w="6373" w:type="dxa"/>
            <w:tcMar>
              <w:top w:w="113" w:type="dxa"/>
              <w:bottom w:w="57" w:type="dxa"/>
            </w:tcMar>
            <w:vAlign w:val="center"/>
          </w:tcPr>
          <w:p w14:paraId="40EE374B" w14:textId="70C87126" w:rsidR="00403954" w:rsidRPr="00EA2348" w:rsidRDefault="006363A1" w:rsidP="00E63B98">
            <w:pPr>
              <w:tabs>
                <w:tab w:val="left" w:pos="1134"/>
                <w:tab w:val="left" w:pos="2835"/>
              </w:tabs>
              <w:jc w:val="both"/>
              <w:rPr>
                <w:lang w:val="nl-BE"/>
              </w:rPr>
            </w:pPr>
            <w:r w:rsidRPr="000F450A">
              <w:rPr>
                <w:color w:val="4F81BD" w:themeColor="accent1"/>
                <w:lang w:val="nl-BE"/>
              </w:rPr>
              <w:t xml:space="preserve">&lt; bijkomende </w:t>
            </w:r>
            <w:r>
              <w:rPr>
                <w:color w:val="4F81BD" w:themeColor="accent1"/>
                <w:lang w:val="nl-BE"/>
              </w:rPr>
              <w:t xml:space="preserve">vermeldingen in geval van </w:t>
            </w:r>
            <w:r w:rsidRPr="000F450A">
              <w:rPr>
                <w:color w:val="4F81BD" w:themeColor="accent1"/>
                <w:lang w:val="nl-BE"/>
              </w:rPr>
              <w:t>hoge druk / open pijp&gt;</w:t>
            </w:r>
          </w:p>
        </w:tc>
      </w:tr>
      <w:tr w:rsidR="00403954" w:rsidRPr="006B023E" w14:paraId="56A1CD51" w14:textId="77777777" w:rsidTr="009C15F6">
        <w:trPr>
          <w:trHeight w:val="340"/>
        </w:trPr>
        <w:tc>
          <w:tcPr>
            <w:tcW w:w="2522" w:type="dxa"/>
            <w:tcMar>
              <w:top w:w="113" w:type="dxa"/>
              <w:bottom w:w="57" w:type="dxa"/>
            </w:tcMar>
            <w:vAlign w:val="center"/>
          </w:tcPr>
          <w:p w14:paraId="6638462F" w14:textId="77777777" w:rsidR="00403954" w:rsidRDefault="004615F5" w:rsidP="00403954">
            <w:pPr>
              <w:rPr>
                <w:rFonts w:cs="FBAPIO+Arial,Bold"/>
                <w:color w:val="000000"/>
              </w:rPr>
            </w:pPr>
            <w:proofErr w:type="spellStart"/>
            <w:r>
              <w:rPr>
                <w:rFonts w:cs="FBAPIO+Arial,Bold"/>
                <w:b/>
                <w:bCs/>
                <w:color w:val="000000"/>
              </w:rPr>
              <w:t>Pulsen</w:t>
            </w:r>
            <w:proofErr w:type="spellEnd"/>
          </w:p>
          <w:p w14:paraId="17E95FF4" w14:textId="77777777" w:rsidR="00403954" w:rsidRDefault="00403954" w:rsidP="00E63B98">
            <w:pPr>
              <w:tabs>
                <w:tab w:val="left" w:pos="1134"/>
                <w:tab w:val="left" w:pos="2835"/>
              </w:tabs>
              <w:rPr>
                <w:b/>
                <w:bCs/>
                <w:lang w:val="nl-BE"/>
              </w:rPr>
            </w:pPr>
          </w:p>
        </w:tc>
        <w:tc>
          <w:tcPr>
            <w:tcW w:w="6373" w:type="dxa"/>
            <w:tcMar>
              <w:top w:w="113" w:type="dxa"/>
              <w:bottom w:w="57" w:type="dxa"/>
            </w:tcMar>
            <w:vAlign w:val="center"/>
          </w:tcPr>
          <w:p w14:paraId="6F12D62D" w14:textId="77777777" w:rsidR="004615F5" w:rsidRPr="004615F5" w:rsidRDefault="004615F5" w:rsidP="004615F5">
            <w:pPr>
              <w:rPr>
                <w:noProof/>
                <w:lang w:val="nl-BE"/>
              </w:rPr>
            </w:pPr>
            <w:r w:rsidRPr="004615F5">
              <w:rPr>
                <w:noProof/>
                <w:lang w:val="nl-BE"/>
              </w:rPr>
              <w:t xml:space="preserve">Pulsen uit de meetinrichting ter beschikking gesteld aan de DNG voor toepassingen van de DNG: </w:t>
            </w:r>
            <w:sdt>
              <w:sdtPr>
                <w:rPr>
                  <w:color w:val="4F81BD" w:themeColor="accent1"/>
                </w:rPr>
                <w:alias w:val="Meteruitlezing"/>
                <w:tag w:val="Meteruitlezing"/>
                <w:id w:val="255178344"/>
                <w:placeholder>
                  <w:docPart w:val="91F0DBFB10474B4090AA0AFB3DB20CA4"/>
                </w:placeholder>
                <w:showingPlcHdr/>
                <w:dropDownList>
                  <w:listItem w:value="Kies een item."/>
                  <w:listItem w:displayText="Ja" w:value="Ja"/>
                  <w:listItem w:displayText="Neen" w:value="Neen"/>
                </w:dropDownList>
              </w:sdtPr>
              <w:sdtEndPr>
                <w:rPr>
                  <w:color w:val="auto"/>
                </w:rPr>
              </w:sdtEndPr>
              <w:sdtContent>
                <w:r w:rsidRPr="004615F5">
                  <w:rPr>
                    <w:rStyle w:val="Tekstvantijdelijkeaanduiding"/>
                    <w:rFonts w:eastAsiaTheme="minorEastAsia"/>
                    <w:color w:val="4F81BD" w:themeColor="accent1"/>
                    <w:lang w:val="nl-BE"/>
                  </w:rPr>
                  <w:t>Kies een item.</w:t>
                </w:r>
              </w:sdtContent>
            </w:sdt>
          </w:p>
          <w:p w14:paraId="40AF6193" w14:textId="77777777" w:rsidR="004615F5" w:rsidRPr="004615F5" w:rsidRDefault="004615F5" w:rsidP="004615F5">
            <w:pPr>
              <w:rPr>
                <w:noProof/>
                <w:lang w:val="nl-BE"/>
              </w:rPr>
            </w:pPr>
          </w:p>
          <w:p w14:paraId="233F2D87" w14:textId="766BA024" w:rsidR="004615F5" w:rsidRPr="004615F5" w:rsidRDefault="004615F5" w:rsidP="004615F5">
            <w:pPr>
              <w:rPr>
                <w:i/>
                <w:noProof/>
                <w:sz w:val="16"/>
                <w:lang w:val="nl-BE"/>
              </w:rPr>
            </w:pPr>
            <w:r w:rsidRPr="004615F5">
              <w:rPr>
                <w:i/>
                <w:noProof/>
                <w:sz w:val="16"/>
                <w:lang w:val="nl-BE"/>
              </w:rPr>
              <w:t xml:space="preserve">Indien pulsen ter beschikking </w:t>
            </w:r>
            <w:r w:rsidR="009A313D">
              <w:rPr>
                <w:i/>
                <w:noProof/>
                <w:sz w:val="16"/>
                <w:lang w:val="nl-BE"/>
              </w:rPr>
              <w:t xml:space="preserve">worden </w:t>
            </w:r>
            <w:r w:rsidRPr="004615F5">
              <w:rPr>
                <w:i/>
                <w:noProof/>
                <w:sz w:val="16"/>
                <w:lang w:val="nl-BE"/>
              </w:rPr>
              <w:t>gesteld voor toepassingen van de DNG zijn deze louter informatief. De DNB draagt bijgevolg geen verantwoordelijkheid voor de energiehoeveelheden die door de systemen van de Netgebruiker worden berekend op basis van deze pulsen</w:t>
            </w:r>
            <w:r w:rsidR="00561B2B">
              <w:rPr>
                <w:i/>
                <w:noProof/>
                <w:sz w:val="16"/>
                <w:lang w:val="nl-BE"/>
              </w:rPr>
              <w:t xml:space="preserve"> noch van eventueel gebruik van de pulsen vo</w:t>
            </w:r>
            <w:r w:rsidR="001B3482">
              <w:rPr>
                <w:i/>
                <w:noProof/>
                <w:sz w:val="16"/>
                <w:lang w:val="nl-BE"/>
              </w:rPr>
              <w:t>o</w:t>
            </w:r>
            <w:r w:rsidR="00561B2B">
              <w:rPr>
                <w:i/>
                <w:noProof/>
                <w:sz w:val="16"/>
                <w:lang w:val="nl-BE"/>
              </w:rPr>
              <w:t>r het sturen van technische processen.</w:t>
            </w:r>
            <w:r w:rsidRPr="004615F5">
              <w:rPr>
                <w:i/>
                <w:noProof/>
                <w:sz w:val="16"/>
                <w:lang w:val="nl-BE"/>
              </w:rPr>
              <w:t>.</w:t>
            </w:r>
          </w:p>
          <w:p w14:paraId="49C267D0" w14:textId="77777777" w:rsidR="004615F5" w:rsidRPr="004615F5" w:rsidRDefault="004615F5" w:rsidP="004615F5">
            <w:pPr>
              <w:rPr>
                <w:i/>
                <w:noProof/>
                <w:sz w:val="16"/>
                <w:lang w:val="nl-BE"/>
              </w:rPr>
            </w:pPr>
          </w:p>
          <w:p w14:paraId="42157340" w14:textId="77777777" w:rsidR="004615F5" w:rsidRPr="004615F5" w:rsidRDefault="004615F5" w:rsidP="004615F5">
            <w:pPr>
              <w:rPr>
                <w:i/>
                <w:noProof/>
                <w:sz w:val="16"/>
                <w:lang w:val="nl-BE"/>
              </w:rPr>
            </w:pPr>
            <w:r w:rsidRPr="004615F5">
              <w:rPr>
                <w:i/>
                <w:noProof/>
                <w:sz w:val="16"/>
                <w:lang w:val="nl-BE"/>
              </w:rPr>
              <w:t>Bij indienstname van de Aansluiting is de terbeschikkingstelling van pulsen gratis mits de DNG dit vooraf aan de DNB verzoekt.</w:t>
            </w:r>
          </w:p>
          <w:p w14:paraId="4BF32C2D" w14:textId="77777777" w:rsidR="004615F5" w:rsidRPr="004615F5" w:rsidRDefault="004615F5" w:rsidP="004615F5">
            <w:pPr>
              <w:rPr>
                <w:i/>
                <w:noProof/>
                <w:sz w:val="16"/>
                <w:lang w:val="nl-BE"/>
              </w:rPr>
            </w:pPr>
            <w:r w:rsidRPr="004615F5">
              <w:rPr>
                <w:i/>
                <w:noProof/>
                <w:sz w:val="16"/>
                <w:lang w:val="nl-BE"/>
              </w:rPr>
              <w:t>Na indienstname kunnen de pulsen alsnog ter beschikking gesteld worden op verzoek van de DNG aan de DNB, tegen de op dat moment geldende tarieven</w:t>
            </w:r>
          </w:p>
          <w:p w14:paraId="4AF29097" w14:textId="77777777" w:rsidR="00403954" w:rsidRDefault="00403954" w:rsidP="00403954">
            <w:pPr>
              <w:jc w:val="both"/>
              <w:rPr>
                <w:lang w:val="nl-BE"/>
              </w:rPr>
            </w:pPr>
          </w:p>
        </w:tc>
      </w:tr>
    </w:tbl>
    <w:p w14:paraId="10A0B90A" w14:textId="77777777" w:rsidR="00403954" w:rsidRDefault="00403954">
      <w:pPr>
        <w:pStyle w:val="Plattetekst"/>
        <w:widowControl/>
        <w:tabs>
          <w:tab w:val="clear" w:pos="-720"/>
          <w:tab w:val="clear" w:pos="0"/>
          <w:tab w:val="clear" w:pos="851"/>
          <w:tab w:val="clear" w:pos="1418"/>
          <w:tab w:val="clear" w:pos="1985"/>
          <w:tab w:val="clear" w:pos="2268"/>
          <w:tab w:val="clear" w:pos="2552"/>
          <w:tab w:val="clear" w:pos="2835"/>
        </w:tabs>
        <w:suppressAutoHyphens w:val="0"/>
        <w:spacing w:line="240" w:lineRule="auto"/>
        <w:rPr>
          <w:sz w:val="20"/>
          <w:szCs w:val="20"/>
          <w:lang w:val="nl-BE"/>
        </w:rPr>
      </w:pPr>
    </w:p>
    <w:p w14:paraId="00E76052" w14:textId="77777777" w:rsidR="00AB03D3" w:rsidRDefault="00AB03D3">
      <w:pPr>
        <w:pStyle w:val="Plattetekst"/>
        <w:widowControl/>
        <w:tabs>
          <w:tab w:val="clear" w:pos="-720"/>
          <w:tab w:val="clear" w:pos="0"/>
          <w:tab w:val="clear" w:pos="851"/>
          <w:tab w:val="clear" w:pos="1418"/>
          <w:tab w:val="clear" w:pos="1985"/>
          <w:tab w:val="clear" w:pos="2268"/>
          <w:tab w:val="clear" w:pos="2552"/>
          <w:tab w:val="clear" w:pos="2835"/>
        </w:tabs>
        <w:suppressAutoHyphens w:val="0"/>
        <w:spacing w:line="240" w:lineRule="auto"/>
        <w:rPr>
          <w:sz w:val="20"/>
          <w:szCs w:val="20"/>
          <w:lang w:val="nl-BE"/>
        </w:rPr>
      </w:pPr>
    </w:p>
    <w:p w14:paraId="4766D94B" w14:textId="77777777" w:rsidR="004615F5" w:rsidRPr="004615F5" w:rsidRDefault="004615F5" w:rsidP="008F61D1">
      <w:pPr>
        <w:pStyle w:val="Kop2"/>
        <w:numPr>
          <w:ilvl w:val="0"/>
          <w:numId w:val="2"/>
        </w:numPr>
        <w:shd w:val="clear" w:color="auto" w:fill="BFBFBF" w:themeFill="background1" w:themeFillShade="BF"/>
        <w:tabs>
          <w:tab w:val="left" w:pos="1134"/>
        </w:tabs>
        <w:autoSpaceDE/>
        <w:autoSpaceDN/>
        <w:adjustRightInd/>
        <w:ind w:left="919" w:hanging="1146"/>
        <w:jc w:val="left"/>
        <w:rPr>
          <w:sz w:val="24"/>
          <w:lang w:val="nl-BE"/>
        </w:rPr>
      </w:pPr>
      <w:r>
        <w:rPr>
          <w:sz w:val="24"/>
          <w:lang w:val="nl-BE"/>
        </w:rPr>
        <w:t>Contactgegevens</w:t>
      </w:r>
    </w:p>
    <w:p w14:paraId="3B4A5801" w14:textId="77777777" w:rsidR="005548B1" w:rsidRPr="00200AF1" w:rsidRDefault="005548B1" w:rsidP="005548B1">
      <w:pPr>
        <w:pStyle w:val="TableText"/>
        <w:rPr>
          <w:rFonts w:cs="Arial"/>
          <w:b/>
          <w:bCs/>
          <w:lang w:val="nl-NL"/>
        </w:rPr>
      </w:pPr>
      <w:r>
        <w:rPr>
          <w:rFonts w:cs="Arial"/>
          <w:b/>
          <w:bCs/>
          <w:lang w:val="nl-NL"/>
        </w:rPr>
        <w:t>Contactgegevens van de Distributienetbeheerder</w:t>
      </w:r>
    </w:p>
    <w:p w14:paraId="2E1EE6BF" w14:textId="77777777" w:rsidR="005548B1" w:rsidRPr="00F3012D" w:rsidRDefault="005548B1" w:rsidP="005548B1">
      <w:pPr>
        <w:pStyle w:val="TableText"/>
        <w:ind w:left="317"/>
        <w:rPr>
          <w:rFonts w:cs="Arial"/>
          <w:lang w:val="nl-NL"/>
        </w:rPr>
      </w:pPr>
    </w:p>
    <w:p w14:paraId="7286F2B1" w14:textId="77777777" w:rsidR="005548B1" w:rsidRDefault="005548B1" w:rsidP="005548B1">
      <w:pPr>
        <w:pStyle w:val="TableText"/>
        <w:numPr>
          <w:ilvl w:val="0"/>
          <w:numId w:val="15"/>
        </w:numPr>
        <w:tabs>
          <w:tab w:val="clear" w:pos="2490"/>
        </w:tabs>
        <w:ind w:left="317"/>
        <w:rPr>
          <w:rFonts w:cs="Arial"/>
          <w:lang w:val="nl-NL"/>
        </w:rPr>
      </w:pPr>
      <w:r w:rsidRPr="00F3012D">
        <w:rPr>
          <w:rFonts w:cs="Arial"/>
          <w:lang w:val="nl-NL"/>
        </w:rPr>
        <w:t xml:space="preserve">Algemeen nummer - </w:t>
      </w:r>
      <w:r>
        <w:rPr>
          <w:rFonts w:cs="Arial"/>
          <w:lang w:val="nl-NL"/>
        </w:rPr>
        <w:t>078/35.35.34</w:t>
      </w:r>
    </w:p>
    <w:p w14:paraId="3E19712E" w14:textId="77777777" w:rsidR="005548B1" w:rsidRDefault="005548B1" w:rsidP="005548B1">
      <w:pPr>
        <w:pStyle w:val="TableText"/>
        <w:numPr>
          <w:ilvl w:val="1"/>
          <w:numId w:val="15"/>
        </w:numPr>
        <w:rPr>
          <w:rFonts w:cs="Arial"/>
          <w:lang w:val="nl-NL"/>
        </w:rPr>
      </w:pPr>
      <w:r>
        <w:rPr>
          <w:rFonts w:cs="Arial"/>
          <w:lang w:val="nl-NL"/>
        </w:rPr>
        <w:t>Werkdagen van 8 tot 20u</w:t>
      </w:r>
    </w:p>
    <w:p w14:paraId="7117B55E" w14:textId="77777777" w:rsidR="005548B1" w:rsidRPr="00F3012D" w:rsidRDefault="005548B1" w:rsidP="005548B1">
      <w:pPr>
        <w:pStyle w:val="TableText"/>
        <w:numPr>
          <w:ilvl w:val="0"/>
          <w:numId w:val="15"/>
        </w:numPr>
        <w:tabs>
          <w:tab w:val="clear" w:pos="2490"/>
        </w:tabs>
        <w:ind w:left="317"/>
        <w:rPr>
          <w:rFonts w:cs="Arial"/>
          <w:lang w:val="nl-NL"/>
        </w:rPr>
      </w:pPr>
      <w:r>
        <w:rPr>
          <w:rFonts w:cs="Arial"/>
          <w:lang w:val="nl-NL"/>
        </w:rPr>
        <w:t>Zaterdag van 9 tot 13u</w:t>
      </w:r>
    </w:p>
    <w:p w14:paraId="3595D82D" w14:textId="77777777" w:rsidR="005548B1" w:rsidRDefault="005548B1" w:rsidP="005548B1">
      <w:pPr>
        <w:pStyle w:val="TableText"/>
        <w:ind w:left="1080"/>
        <w:rPr>
          <w:rFonts w:cs="Arial"/>
          <w:lang w:val="nl-NL"/>
        </w:rPr>
      </w:pPr>
    </w:p>
    <w:p w14:paraId="50930818" w14:textId="77777777" w:rsidR="005548B1" w:rsidRDefault="005548B1" w:rsidP="005548B1">
      <w:pPr>
        <w:pStyle w:val="TableText"/>
        <w:rPr>
          <w:rFonts w:cs="Arial"/>
          <w:lang w:val="nl-NL"/>
        </w:rPr>
      </w:pPr>
      <w:r>
        <w:rPr>
          <w:rFonts w:cs="Arial"/>
          <w:lang w:val="nl-NL"/>
        </w:rPr>
        <w:t>Deze contactgegevens zijn tevens terug te vinden op de website van de Distributienetbeheerder.</w:t>
      </w:r>
    </w:p>
    <w:p w14:paraId="33AA6114" w14:textId="77777777" w:rsidR="005548B1" w:rsidRDefault="005548B1" w:rsidP="005548B1">
      <w:pPr>
        <w:pStyle w:val="TableText"/>
        <w:ind w:left="1080"/>
        <w:rPr>
          <w:rFonts w:cs="Arial"/>
          <w:lang w:val="nl-NL"/>
        </w:rPr>
      </w:pPr>
    </w:p>
    <w:p w14:paraId="2A5B065F" w14:textId="77777777" w:rsidR="005548B1" w:rsidRDefault="005548B1" w:rsidP="005548B1">
      <w:pPr>
        <w:pStyle w:val="TableText"/>
        <w:ind w:left="1080"/>
        <w:rPr>
          <w:rFonts w:cs="Arial"/>
          <w:lang w:val="nl-NL"/>
        </w:rPr>
      </w:pPr>
    </w:p>
    <w:p w14:paraId="011036A5" w14:textId="77777777" w:rsidR="005548B1" w:rsidRDefault="005548B1" w:rsidP="005548B1">
      <w:pPr>
        <w:pStyle w:val="TableText"/>
        <w:numPr>
          <w:ilvl w:val="0"/>
          <w:numId w:val="15"/>
        </w:numPr>
        <w:tabs>
          <w:tab w:val="clear" w:pos="2490"/>
        </w:tabs>
        <w:ind w:left="317"/>
        <w:rPr>
          <w:rFonts w:cs="Arial"/>
          <w:lang w:val="nl-NL"/>
        </w:rPr>
      </w:pPr>
      <w:r>
        <w:rPr>
          <w:rFonts w:cs="Arial"/>
          <w:lang w:val="nl-NL"/>
        </w:rPr>
        <w:t>Storingen en defecten - 078/35.35.55</w:t>
      </w:r>
    </w:p>
    <w:p w14:paraId="660CFA08" w14:textId="77777777" w:rsidR="005548B1" w:rsidRDefault="005548B1" w:rsidP="005548B1">
      <w:pPr>
        <w:pStyle w:val="TableText"/>
        <w:numPr>
          <w:ilvl w:val="1"/>
          <w:numId w:val="15"/>
        </w:numPr>
        <w:rPr>
          <w:rFonts w:cs="Arial"/>
          <w:lang w:val="nl-NL"/>
        </w:rPr>
      </w:pPr>
      <w:r>
        <w:rPr>
          <w:rFonts w:cs="Arial"/>
          <w:lang w:val="nl-NL"/>
        </w:rPr>
        <w:t>24/24u en 7 dagen op 7 bereikbaar</w:t>
      </w:r>
    </w:p>
    <w:p w14:paraId="1AE0F78D" w14:textId="3BDDDA6D" w:rsidR="005548B1" w:rsidRDefault="005548B1" w:rsidP="005548B1">
      <w:pPr>
        <w:pStyle w:val="TableText"/>
        <w:numPr>
          <w:ilvl w:val="1"/>
          <w:numId w:val="15"/>
        </w:numPr>
        <w:rPr>
          <w:rFonts w:cs="Arial"/>
          <w:lang w:val="nl-NL"/>
        </w:rPr>
      </w:pPr>
      <w:r>
        <w:rPr>
          <w:rFonts w:cs="Arial"/>
          <w:lang w:val="nl-NL"/>
        </w:rPr>
        <w:t>prioritair nummer voor hoogspannings</w:t>
      </w:r>
      <w:r w:rsidR="006239B7">
        <w:rPr>
          <w:rFonts w:cs="Arial"/>
          <w:lang w:val="nl-NL"/>
        </w:rPr>
        <w:t>- en hoge druk klanten</w:t>
      </w:r>
    </w:p>
    <w:p w14:paraId="067E058E" w14:textId="274BA6B8" w:rsidR="00EA2348" w:rsidRDefault="00EA2348" w:rsidP="004615F5">
      <w:pPr>
        <w:pStyle w:val="TableText"/>
        <w:rPr>
          <w:rFonts w:cs="Arial"/>
          <w:lang w:val="nl-NL"/>
        </w:rPr>
      </w:pPr>
    </w:p>
    <w:p w14:paraId="68BD17F4" w14:textId="77777777" w:rsidR="004615F5" w:rsidRDefault="004615F5" w:rsidP="004615F5">
      <w:pPr>
        <w:pStyle w:val="TableText"/>
        <w:rPr>
          <w:rFonts w:cs="Arial"/>
          <w:lang w:val="nl-NL"/>
        </w:rPr>
      </w:pPr>
    </w:p>
    <w:p w14:paraId="394CCDCC" w14:textId="77777777" w:rsidR="004615F5" w:rsidRDefault="004615F5" w:rsidP="004615F5">
      <w:pPr>
        <w:pStyle w:val="TableText"/>
        <w:rPr>
          <w:rFonts w:cs="Arial"/>
          <w:b/>
          <w:bCs/>
          <w:lang w:val="nl-NL"/>
        </w:rPr>
      </w:pPr>
      <w:r>
        <w:rPr>
          <w:rFonts w:cs="Arial"/>
          <w:b/>
          <w:bCs/>
          <w:lang w:val="nl-NL"/>
        </w:rPr>
        <w:t>Contactgegevens van de Distributienetgebruiker</w:t>
      </w:r>
    </w:p>
    <w:p w14:paraId="527FE300" w14:textId="77777777" w:rsidR="004615F5" w:rsidRDefault="004615F5" w:rsidP="004615F5">
      <w:pPr>
        <w:pStyle w:val="TableText"/>
        <w:rPr>
          <w:rFonts w:cs="Arial"/>
          <w:u w:val="single"/>
          <w:lang w:val="nl-NL"/>
        </w:rPr>
      </w:pPr>
    </w:p>
    <w:p w14:paraId="0FC54E91" w14:textId="77777777" w:rsidR="00B9267C" w:rsidRDefault="00B9267C" w:rsidP="00B9267C">
      <w:pPr>
        <w:pStyle w:val="TableText"/>
        <w:rPr>
          <w:rFonts w:cs="Arial"/>
          <w:lang w:val="nl-NL"/>
        </w:rPr>
      </w:pPr>
      <w:r>
        <w:rPr>
          <w:rFonts w:cs="Arial"/>
          <w:lang w:val="nl-NL"/>
        </w:rPr>
        <w:t xml:space="preserve">Teneinde de DNB in staat te stellen om de DNG (of een partij die de DNG aanduidt als exploitant van de installatie) op ieder ogenblik te contacteren, zal deze hierna eenduidig geïdentificeerd worden. </w:t>
      </w:r>
    </w:p>
    <w:p w14:paraId="1F63CE32" w14:textId="535BD14D" w:rsidR="00B9267C" w:rsidRDefault="00B9267C" w:rsidP="00B9267C">
      <w:pPr>
        <w:pStyle w:val="TableText"/>
        <w:rPr>
          <w:rFonts w:cs="Arial"/>
          <w:lang w:val="nl-NL"/>
        </w:rPr>
      </w:pPr>
      <w:r>
        <w:rPr>
          <w:rFonts w:cs="Arial"/>
          <w:lang w:val="nl-NL"/>
        </w:rPr>
        <w:t>De DNG zal eveneens een telefoonnummer opgeven dat 24/24u bereikbaar is teneinde de operationele contacten te allen tijde toe te laten.</w:t>
      </w:r>
    </w:p>
    <w:p w14:paraId="656CF582" w14:textId="77777777" w:rsidR="004615F5" w:rsidRPr="0092052E" w:rsidRDefault="004615F5" w:rsidP="004615F5">
      <w:pPr>
        <w:pStyle w:val="TableText"/>
        <w:rPr>
          <w:rFonts w:cs="Arial"/>
          <w:lang w:val="nl-NL"/>
        </w:rPr>
      </w:pPr>
    </w:p>
    <w:p w14:paraId="20136714" w14:textId="77777777" w:rsidR="004615F5" w:rsidRPr="001612FD" w:rsidRDefault="004615F5" w:rsidP="004615F5">
      <w:pPr>
        <w:pStyle w:val="TableText"/>
        <w:rPr>
          <w:rFonts w:cs="Arial"/>
          <w:lang w:val="fr-FR"/>
        </w:rPr>
      </w:pPr>
      <w:proofErr w:type="spellStart"/>
      <w:r w:rsidRPr="001612FD">
        <w:rPr>
          <w:rFonts w:cs="Arial"/>
          <w:lang w:val="fr-FR"/>
        </w:rPr>
        <w:t>Identificatie</w:t>
      </w:r>
      <w:proofErr w:type="spellEnd"/>
      <w:r w:rsidRPr="001612FD">
        <w:rPr>
          <w:rFonts w:cs="Arial"/>
          <w:lang w:val="fr-FR"/>
        </w:rPr>
        <w:t xml:space="preserve"> van de </w:t>
      </w:r>
      <w:r>
        <w:rPr>
          <w:rFonts w:cs="Arial"/>
          <w:lang w:val="fr-FR"/>
        </w:rPr>
        <w:t>E</w:t>
      </w:r>
      <w:r w:rsidRPr="001612FD">
        <w:rPr>
          <w:rFonts w:cs="Arial"/>
          <w:lang w:val="fr-FR"/>
        </w:rPr>
        <w:t>xploitant:</w:t>
      </w:r>
    </w:p>
    <w:p w14:paraId="23661E7E" w14:textId="77777777" w:rsidR="004615F5" w:rsidRPr="001612FD" w:rsidRDefault="004615F5" w:rsidP="004615F5">
      <w:pPr>
        <w:pStyle w:val="TableText"/>
        <w:rPr>
          <w:rFonts w:cs="Arial"/>
          <w:lang w:val="fr-FR"/>
        </w:rPr>
      </w:pPr>
    </w:p>
    <w:p w14:paraId="1FAC9268" w14:textId="77777777" w:rsidR="004615F5" w:rsidRPr="001612FD" w:rsidRDefault="004615F5" w:rsidP="004615F5">
      <w:pPr>
        <w:pStyle w:val="TableText"/>
        <w:tabs>
          <w:tab w:val="left" w:pos="1872"/>
        </w:tabs>
        <w:rPr>
          <w:rFonts w:cs="Arial"/>
          <w:lang w:val="fr-FR"/>
        </w:rPr>
      </w:pPr>
      <w:proofErr w:type="spellStart"/>
      <w:r w:rsidRPr="001612FD">
        <w:rPr>
          <w:rFonts w:cs="Arial"/>
          <w:lang w:val="fr-FR"/>
        </w:rPr>
        <w:t>Firmanaam</w:t>
      </w:r>
      <w:proofErr w:type="spellEnd"/>
      <w:r w:rsidRPr="001612FD">
        <w:rPr>
          <w:rFonts w:cs="Arial"/>
          <w:lang w:val="fr-FR"/>
        </w:rPr>
        <w:tab/>
        <w:t>: …………………………………………….</w:t>
      </w:r>
    </w:p>
    <w:p w14:paraId="3A794FF6" w14:textId="77777777" w:rsidR="004615F5" w:rsidRPr="004615F5" w:rsidRDefault="004615F5" w:rsidP="004615F5">
      <w:pPr>
        <w:pStyle w:val="TableText"/>
        <w:tabs>
          <w:tab w:val="left" w:pos="1872"/>
        </w:tabs>
        <w:rPr>
          <w:rFonts w:cs="Arial"/>
          <w:lang w:val="nl-BE"/>
        </w:rPr>
      </w:pPr>
      <w:r w:rsidRPr="004615F5">
        <w:rPr>
          <w:rFonts w:cs="Arial"/>
          <w:lang w:val="nl-BE"/>
        </w:rPr>
        <w:t>Adres</w:t>
      </w:r>
      <w:r w:rsidRPr="004615F5">
        <w:rPr>
          <w:rFonts w:cs="Arial"/>
          <w:lang w:val="nl-BE"/>
        </w:rPr>
        <w:tab/>
        <w:t>: …………………………………………….</w:t>
      </w:r>
    </w:p>
    <w:p w14:paraId="5AFD6256" w14:textId="77777777" w:rsidR="004615F5" w:rsidRPr="004615F5" w:rsidRDefault="004615F5" w:rsidP="004615F5">
      <w:pPr>
        <w:pStyle w:val="TableText"/>
        <w:tabs>
          <w:tab w:val="left" w:pos="1872"/>
        </w:tabs>
        <w:rPr>
          <w:rFonts w:cs="Arial"/>
          <w:lang w:val="nl-BE"/>
        </w:rPr>
      </w:pPr>
    </w:p>
    <w:p w14:paraId="45B27281" w14:textId="77777777" w:rsidR="004615F5" w:rsidRPr="004615F5" w:rsidRDefault="004615F5" w:rsidP="004615F5">
      <w:pPr>
        <w:pStyle w:val="TableText"/>
        <w:tabs>
          <w:tab w:val="left" w:pos="1872"/>
        </w:tabs>
        <w:rPr>
          <w:rFonts w:cs="Arial"/>
          <w:lang w:val="nl-BE"/>
        </w:rPr>
      </w:pPr>
      <w:r w:rsidRPr="004615F5">
        <w:rPr>
          <w:rFonts w:cs="Arial"/>
          <w:lang w:val="nl-BE"/>
        </w:rPr>
        <w:t>Contactpersoon:</w:t>
      </w:r>
    </w:p>
    <w:p w14:paraId="69DFA2F7" w14:textId="77777777" w:rsidR="004615F5" w:rsidRPr="004615F5" w:rsidRDefault="004615F5" w:rsidP="004615F5">
      <w:pPr>
        <w:pStyle w:val="TableText"/>
        <w:tabs>
          <w:tab w:val="left" w:pos="1872"/>
        </w:tabs>
        <w:rPr>
          <w:rFonts w:cs="Arial"/>
          <w:lang w:val="nl-BE"/>
        </w:rPr>
      </w:pPr>
      <w:r w:rsidRPr="004615F5">
        <w:rPr>
          <w:rFonts w:cs="Arial"/>
          <w:lang w:val="nl-BE"/>
        </w:rPr>
        <w:t>Voor algemene en contractuele aangelegenheden:</w:t>
      </w:r>
    </w:p>
    <w:p w14:paraId="437BD158" w14:textId="77777777" w:rsidR="004615F5" w:rsidRPr="004615F5" w:rsidRDefault="004615F5" w:rsidP="004615F5">
      <w:pPr>
        <w:pStyle w:val="TableText"/>
        <w:tabs>
          <w:tab w:val="left" w:pos="1872"/>
        </w:tabs>
        <w:rPr>
          <w:rFonts w:cs="Arial"/>
          <w:lang w:val="nl-BE"/>
        </w:rPr>
      </w:pPr>
    </w:p>
    <w:p w14:paraId="001B013A" w14:textId="77777777" w:rsidR="004615F5" w:rsidRPr="004615F5" w:rsidRDefault="004615F5" w:rsidP="004615F5">
      <w:pPr>
        <w:pStyle w:val="TableText"/>
        <w:tabs>
          <w:tab w:val="left" w:pos="1872"/>
          <w:tab w:val="left" w:pos="3006"/>
        </w:tabs>
        <w:rPr>
          <w:rFonts w:cs="Arial"/>
          <w:lang w:val="nl-BE"/>
        </w:rPr>
      </w:pPr>
      <w:r w:rsidRPr="004615F5">
        <w:rPr>
          <w:rFonts w:cs="Arial"/>
          <w:lang w:val="nl-BE"/>
        </w:rPr>
        <w:tab/>
        <w:t>Naam: : ……………………………………</w:t>
      </w:r>
    </w:p>
    <w:p w14:paraId="270AC2E6" w14:textId="4E1F6CA4" w:rsidR="004615F5" w:rsidRPr="004615F5" w:rsidRDefault="00D40523" w:rsidP="004615F5">
      <w:pPr>
        <w:pStyle w:val="TableText"/>
        <w:tabs>
          <w:tab w:val="left" w:pos="1872"/>
        </w:tabs>
        <w:rPr>
          <w:rFonts w:cs="Arial"/>
          <w:lang w:val="nl-BE"/>
        </w:rPr>
      </w:pPr>
      <w:r>
        <w:rPr>
          <w:rFonts w:cs="Arial"/>
          <w:lang w:val="nl-BE"/>
        </w:rPr>
        <w:tab/>
      </w:r>
      <w:r w:rsidR="004615F5" w:rsidRPr="004615F5">
        <w:rPr>
          <w:rFonts w:cs="Arial"/>
          <w:lang w:val="nl-BE"/>
        </w:rPr>
        <w:t>Functie: …………………………………...</w:t>
      </w:r>
    </w:p>
    <w:p w14:paraId="62E3A734" w14:textId="77777777" w:rsidR="004615F5" w:rsidRPr="004615F5" w:rsidRDefault="004615F5" w:rsidP="004615F5">
      <w:pPr>
        <w:pStyle w:val="TableText"/>
        <w:tabs>
          <w:tab w:val="left" w:pos="1872"/>
        </w:tabs>
        <w:rPr>
          <w:rFonts w:cs="Arial"/>
          <w:lang w:val="nl-BE"/>
        </w:rPr>
      </w:pPr>
      <w:r w:rsidRPr="004615F5">
        <w:rPr>
          <w:rFonts w:cs="Arial"/>
          <w:lang w:val="nl-BE"/>
        </w:rPr>
        <w:tab/>
        <w:t>Tel: ……………………. Fax: …………………….</w:t>
      </w:r>
    </w:p>
    <w:p w14:paraId="52926037" w14:textId="77777777" w:rsidR="004615F5" w:rsidRPr="004615F5" w:rsidRDefault="004615F5" w:rsidP="004615F5">
      <w:pPr>
        <w:pStyle w:val="TableText"/>
        <w:tabs>
          <w:tab w:val="left" w:pos="1872"/>
        </w:tabs>
        <w:rPr>
          <w:rFonts w:cs="Arial"/>
          <w:lang w:val="nl-BE"/>
        </w:rPr>
      </w:pPr>
      <w:r w:rsidRPr="004615F5">
        <w:rPr>
          <w:rFonts w:cs="Arial"/>
          <w:lang w:val="nl-BE"/>
        </w:rPr>
        <w:tab/>
        <w:t>Emailadres: ……………………………….</w:t>
      </w:r>
    </w:p>
    <w:p w14:paraId="5481EE27" w14:textId="77777777" w:rsidR="004615F5" w:rsidRPr="004615F5" w:rsidRDefault="004615F5" w:rsidP="004615F5">
      <w:pPr>
        <w:pStyle w:val="TableText"/>
        <w:tabs>
          <w:tab w:val="left" w:pos="1872"/>
        </w:tabs>
        <w:rPr>
          <w:rFonts w:cs="Arial"/>
          <w:lang w:val="nl-BE"/>
        </w:rPr>
      </w:pPr>
    </w:p>
    <w:p w14:paraId="179A35A6" w14:textId="77777777" w:rsidR="004615F5" w:rsidRPr="004615F5" w:rsidRDefault="004615F5" w:rsidP="004615F5">
      <w:pPr>
        <w:pStyle w:val="TableText"/>
        <w:tabs>
          <w:tab w:val="left" w:pos="1872"/>
        </w:tabs>
        <w:rPr>
          <w:rFonts w:cs="Arial"/>
          <w:lang w:val="nl-BE"/>
        </w:rPr>
      </w:pPr>
      <w:r w:rsidRPr="004615F5">
        <w:rPr>
          <w:rFonts w:cs="Arial"/>
          <w:lang w:val="nl-BE"/>
        </w:rPr>
        <w:t>Voor dringende interventies</w:t>
      </w:r>
    </w:p>
    <w:p w14:paraId="1208CEDD" w14:textId="77777777" w:rsidR="004615F5" w:rsidRPr="004615F5" w:rsidRDefault="004615F5" w:rsidP="004615F5">
      <w:pPr>
        <w:pStyle w:val="TableText"/>
        <w:tabs>
          <w:tab w:val="left" w:pos="1872"/>
        </w:tabs>
        <w:rPr>
          <w:rFonts w:cs="Arial"/>
          <w:lang w:val="nl-BE"/>
        </w:rPr>
      </w:pPr>
      <w:r w:rsidRPr="004615F5">
        <w:rPr>
          <w:rFonts w:cs="Arial"/>
          <w:lang w:val="nl-BE"/>
        </w:rPr>
        <w:tab/>
        <w:t>Tel. nr. 24/24u : …………………………..</w:t>
      </w:r>
    </w:p>
    <w:p w14:paraId="76F4B88B" w14:textId="77777777" w:rsidR="004615F5" w:rsidRPr="004615F5" w:rsidRDefault="004615F5" w:rsidP="004615F5">
      <w:pPr>
        <w:rPr>
          <w:lang w:val="nl-BE"/>
        </w:rPr>
      </w:pPr>
    </w:p>
    <w:p w14:paraId="2558988B" w14:textId="77777777" w:rsidR="004615F5" w:rsidRDefault="004615F5" w:rsidP="004615F5">
      <w:pPr>
        <w:pStyle w:val="TableText"/>
        <w:rPr>
          <w:rFonts w:cs="Arial"/>
          <w:b/>
          <w:bCs/>
          <w:lang w:val="nl-NL"/>
        </w:rPr>
      </w:pPr>
    </w:p>
    <w:p w14:paraId="52E0E3A3" w14:textId="77777777" w:rsidR="004615F5" w:rsidRDefault="004615F5" w:rsidP="004615F5">
      <w:pPr>
        <w:pStyle w:val="TableText"/>
        <w:rPr>
          <w:rFonts w:cs="Arial"/>
          <w:b/>
          <w:bCs/>
          <w:lang w:val="nl-NL"/>
        </w:rPr>
      </w:pPr>
      <w:r w:rsidRPr="00DA5E0A">
        <w:rPr>
          <w:rFonts w:cs="Arial"/>
          <w:b/>
          <w:bCs/>
          <w:lang w:val="nl-NL"/>
        </w:rPr>
        <w:t>Procedure voor wijziging van contact</w:t>
      </w:r>
      <w:r>
        <w:rPr>
          <w:rFonts w:cs="Arial"/>
          <w:b/>
          <w:bCs/>
          <w:lang w:val="nl-NL"/>
        </w:rPr>
        <w:t>gegevens:</w:t>
      </w:r>
    </w:p>
    <w:p w14:paraId="1889C793" w14:textId="77777777" w:rsidR="004615F5" w:rsidRDefault="004615F5" w:rsidP="004615F5">
      <w:pPr>
        <w:pStyle w:val="TableText"/>
        <w:rPr>
          <w:rFonts w:cs="Arial"/>
          <w:bCs/>
          <w:lang w:val="nl-NL"/>
        </w:rPr>
      </w:pPr>
    </w:p>
    <w:p w14:paraId="78BA0055" w14:textId="77777777" w:rsidR="004615F5" w:rsidRPr="00B84922" w:rsidRDefault="004615F5" w:rsidP="004615F5">
      <w:pPr>
        <w:pStyle w:val="TableText"/>
        <w:rPr>
          <w:rFonts w:cs="Arial"/>
          <w:bCs/>
          <w:lang w:val="nl-NL"/>
        </w:rPr>
      </w:pPr>
      <w:r>
        <w:rPr>
          <w:rFonts w:cs="Arial"/>
          <w:bCs/>
          <w:lang w:val="nl-NL"/>
        </w:rPr>
        <w:t>Beide partijen komen overeen dat zij elkaar schriftelijk (of per email) verwittigen bij wijziging van de contactgegevens.</w:t>
      </w:r>
    </w:p>
    <w:p w14:paraId="5E418571" w14:textId="77777777" w:rsidR="00860001" w:rsidRDefault="00860001">
      <w:pPr>
        <w:pStyle w:val="Plattetekst"/>
        <w:widowControl/>
        <w:tabs>
          <w:tab w:val="clear" w:pos="-720"/>
          <w:tab w:val="clear" w:pos="0"/>
          <w:tab w:val="clear" w:pos="851"/>
          <w:tab w:val="clear" w:pos="1418"/>
          <w:tab w:val="clear" w:pos="1985"/>
          <w:tab w:val="clear" w:pos="2268"/>
          <w:tab w:val="clear" w:pos="2552"/>
          <w:tab w:val="clear" w:pos="2835"/>
        </w:tabs>
        <w:suppressAutoHyphens w:val="0"/>
        <w:spacing w:line="240" w:lineRule="auto"/>
        <w:rPr>
          <w:sz w:val="20"/>
          <w:szCs w:val="20"/>
        </w:rPr>
      </w:pPr>
    </w:p>
    <w:p w14:paraId="69729FF7" w14:textId="77777777" w:rsidR="00331F88" w:rsidRDefault="00331F88">
      <w:pPr>
        <w:pStyle w:val="Plattetekst"/>
        <w:widowControl/>
        <w:tabs>
          <w:tab w:val="clear" w:pos="-720"/>
          <w:tab w:val="clear" w:pos="0"/>
          <w:tab w:val="clear" w:pos="851"/>
          <w:tab w:val="clear" w:pos="1418"/>
          <w:tab w:val="clear" w:pos="1985"/>
          <w:tab w:val="clear" w:pos="2268"/>
          <w:tab w:val="clear" w:pos="2552"/>
          <w:tab w:val="clear" w:pos="2835"/>
        </w:tabs>
        <w:suppressAutoHyphens w:val="0"/>
        <w:spacing w:line="240" w:lineRule="auto"/>
        <w:rPr>
          <w:sz w:val="20"/>
          <w:szCs w:val="20"/>
        </w:rPr>
      </w:pPr>
    </w:p>
    <w:p w14:paraId="6D6FBAB8" w14:textId="77777777" w:rsidR="00331F88" w:rsidRDefault="00331F88">
      <w:pPr>
        <w:pStyle w:val="Plattetekst"/>
        <w:widowControl/>
        <w:tabs>
          <w:tab w:val="clear" w:pos="-720"/>
          <w:tab w:val="clear" w:pos="0"/>
          <w:tab w:val="clear" w:pos="851"/>
          <w:tab w:val="clear" w:pos="1418"/>
          <w:tab w:val="clear" w:pos="1985"/>
          <w:tab w:val="clear" w:pos="2268"/>
          <w:tab w:val="clear" w:pos="2552"/>
          <w:tab w:val="clear" w:pos="2835"/>
        </w:tabs>
        <w:suppressAutoHyphens w:val="0"/>
        <w:spacing w:line="240" w:lineRule="auto"/>
        <w:rPr>
          <w:sz w:val="20"/>
          <w:szCs w:val="20"/>
        </w:rPr>
      </w:pPr>
    </w:p>
    <w:p w14:paraId="12A93218" w14:textId="77777777" w:rsidR="004D313A" w:rsidRPr="004615F5" w:rsidRDefault="004D313A" w:rsidP="008F61D1">
      <w:pPr>
        <w:pStyle w:val="Kop2"/>
        <w:numPr>
          <w:ilvl w:val="0"/>
          <w:numId w:val="2"/>
        </w:numPr>
        <w:shd w:val="clear" w:color="auto" w:fill="BFBFBF" w:themeFill="background1" w:themeFillShade="BF"/>
        <w:tabs>
          <w:tab w:val="left" w:pos="1134"/>
        </w:tabs>
        <w:autoSpaceDE/>
        <w:autoSpaceDN/>
        <w:adjustRightInd/>
        <w:ind w:left="919" w:hanging="1146"/>
        <w:jc w:val="left"/>
        <w:rPr>
          <w:sz w:val="24"/>
          <w:lang w:val="nl-BE"/>
        </w:rPr>
      </w:pPr>
      <w:r>
        <w:rPr>
          <w:sz w:val="24"/>
          <w:lang w:val="nl-BE"/>
        </w:rPr>
        <w:t>Slotbepalingen</w:t>
      </w:r>
    </w:p>
    <w:p w14:paraId="7FF387B9" w14:textId="2F99DAC0" w:rsidR="004D313A" w:rsidRDefault="004D313A" w:rsidP="004D313A">
      <w:pPr>
        <w:pStyle w:val="Plattetekst"/>
        <w:widowControl/>
        <w:tabs>
          <w:tab w:val="clear" w:pos="-720"/>
          <w:tab w:val="clear" w:pos="0"/>
          <w:tab w:val="clear" w:pos="851"/>
          <w:tab w:val="clear" w:pos="1418"/>
          <w:tab w:val="clear" w:pos="1985"/>
          <w:tab w:val="clear" w:pos="2268"/>
          <w:tab w:val="clear" w:pos="2552"/>
          <w:tab w:val="clear" w:pos="2835"/>
        </w:tabs>
        <w:suppressAutoHyphens w:val="0"/>
        <w:spacing w:line="240" w:lineRule="auto"/>
        <w:rPr>
          <w:sz w:val="20"/>
          <w:szCs w:val="20"/>
          <w:lang w:val="nl-BE"/>
        </w:rPr>
      </w:pPr>
      <w:r>
        <w:rPr>
          <w:sz w:val="20"/>
          <w:szCs w:val="20"/>
          <w:lang w:val="nl-BE"/>
        </w:rPr>
        <w:t xml:space="preserve">Het contract, met inbegrip van de bijlagen, treedt in werking op </w:t>
      </w:r>
      <w:r w:rsidR="0058760B">
        <w:rPr>
          <w:color w:val="4F81BD" w:themeColor="accent1"/>
          <w:sz w:val="20"/>
          <w:szCs w:val="20"/>
          <w:lang w:val="nl-BE"/>
        </w:rPr>
        <w:fldChar w:fldCharType="begin"/>
      </w:r>
      <w:r w:rsidR="0058760B">
        <w:rPr>
          <w:color w:val="4F81BD" w:themeColor="accent1"/>
          <w:sz w:val="20"/>
          <w:szCs w:val="20"/>
          <w:lang w:val="nl-BE"/>
        </w:rPr>
        <w:instrText xml:space="preserve"> MERGEFIELD  DATUM1 </w:instrText>
      </w:r>
      <w:r w:rsidR="0058760B">
        <w:rPr>
          <w:color w:val="4F81BD" w:themeColor="accent1"/>
          <w:sz w:val="20"/>
          <w:szCs w:val="20"/>
          <w:lang w:val="nl-BE"/>
        </w:rPr>
        <w:fldChar w:fldCharType="separate"/>
      </w:r>
      <w:r w:rsidR="0058760B">
        <w:rPr>
          <w:noProof/>
          <w:color w:val="4F81BD" w:themeColor="accent1"/>
          <w:sz w:val="20"/>
          <w:szCs w:val="20"/>
          <w:lang w:val="nl-BE"/>
        </w:rPr>
        <w:t>«DATUM1»</w:t>
      </w:r>
      <w:r w:rsidR="0058760B">
        <w:rPr>
          <w:color w:val="4F81BD" w:themeColor="accent1"/>
          <w:sz w:val="20"/>
          <w:szCs w:val="20"/>
          <w:lang w:val="nl-BE"/>
        </w:rPr>
        <w:fldChar w:fldCharType="end"/>
      </w:r>
      <w:r w:rsidRPr="00BD3D96">
        <w:rPr>
          <w:color w:val="4F81BD" w:themeColor="accent1"/>
          <w:sz w:val="20"/>
          <w:szCs w:val="20"/>
          <w:lang w:val="nl-BE"/>
        </w:rPr>
        <w:t xml:space="preserve">, </w:t>
      </w:r>
      <w:r>
        <w:rPr>
          <w:sz w:val="20"/>
          <w:lang w:val="nl-BE"/>
        </w:rPr>
        <w:t>maar ten vroegste na uitvoering van de werken</w:t>
      </w:r>
      <w:r>
        <w:rPr>
          <w:sz w:val="20"/>
          <w:szCs w:val="20"/>
          <w:lang w:val="nl-BE"/>
        </w:rPr>
        <w:t xml:space="preserve"> </w:t>
      </w:r>
      <w:r w:rsidR="007B5010">
        <w:rPr>
          <w:sz w:val="20"/>
          <w:szCs w:val="20"/>
          <w:lang w:val="nl-BE"/>
        </w:rPr>
        <w:t xml:space="preserve">om de aansluiting in dienst te nemen </w:t>
      </w:r>
      <w:r>
        <w:rPr>
          <w:sz w:val="20"/>
          <w:szCs w:val="20"/>
          <w:lang w:val="nl-BE"/>
        </w:rPr>
        <w:t xml:space="preserve">en vervangt alle voorgaande contracten betreffende de Aansluiting op het </w:t>
      </w:r>
      <w:r w:rsidR="00864415">
        <w:rPr>
          <w:sz w:val="20"/>
          <w:szCs w:val="20"/>
          <w:lang w:val="nl-BE"/>
        </w:rPr>
        <w:t>Aardgas</w:t>
      </w:r>
      <w:r>
        <w:rPr>
          <w:sz w:val="20"/>
          <w:szCs w:val="20"/>
          <w:lang w:val="nl-BE"/>
        </w:rPr>
        <w:t xml:space="preserve">distributienet van de installaties gelegen op de in dit contract beschreven Afnameplaats. </w:t>
      </w:r>
    </w:p>
    <w:p w14:paraId="42A071EA" w14:textId="43FD903F" w:rsidR="00EE524B" w:rsidRDefault="00EE524B">
      <w:pPr>
        <w:tabs>
          <w:tab w:val="left" w:pos="1134"/>
        </w:tabs>
        <w:jc w:val="center"/>
        <w:rPr>
          <w:lang w:val="nl-BE"/>
        </w:rPr>
      </w:pPr>
    </w:p>
    <w:p w14:paraId="3798EF3A" w14:textId="77777777" w:rsidR="00F70F9E" w:rsidRDefault="00F70F9E">
      <w:pPr>
        <w:tabs>
          <w:tab w:val="left" w:pos="1134"/>
        </w:tabs>
        <w:jc w:val="center"/>
        <w:rPr>
          <w:lang w:val="nl-BE"/>
        </w:rPr>
      </w:pPr>
    </w:p>
    <w:p w14:paraId="011E4E41" w14:textId="654F9A72" w:rsidR="004D313A" w:rsidRPr="004D313A" w:rsidRDefault="004D313A" w:rsidP="004D313A">
      <w:pPr>
        <w:tabs>
          <w:tab w:val="left" w:pos="1134"/>
        </w:tabs>
        <w:jc w:val="center"/>
        <w:rPr>
          <w:sz w:val="22"/>
          <w:lang w:val="nl-BE"/>
        </w:rPr>
      </w:pPr>
      <w:r w:rsidRPr="004D313A">
        <w:rPr>
          <w:lang w:val="nl-BE"/>
        </w:rPr>
        <w:t xml:space="preserve">Gedaan te ……………… op </w:t>
      </w:r>
      <w:r w:rsidR="0058760B">
        <w:rPr>
          <w:color w:val="4F81BD" w:themeColor="accent1"/>
          <w:lang w:val="nl-BE"/>
        </w:rPr>
        <w:fldChar w:fldCharType="begin"/>
      </w:r>
      <w:r w:rsidR="0058760B">
        <w:rPr>
          <w:color w:val="4F81BD" w:themeColor="accent1"/>
          <w:lang w:val="nl-BE"/>
        </w:rPr>
        <w:instrText xml:space="preserve"> MERGEFIELD  DATUM2 </w:instrText>
      </w:r>
      <w:r w:rsidR="0058760B">
        <w:rPr>
          <w:color w:val="4F81BD" w:themeColor="accent1"/>
          <w:lang w:val="nl-BE"/>
        </w:rPr>
        <w:fldChar w:fldCharType="separate"/>
      </w:r>
      <w:r w:rsidR="0058760B">
        <w:rPr>
          <w:noProof/>
          <w:color w:val="4F81BD" w:themeColor="accent1"/>
          <w:lang w:val="nl-BE"/>
        </w:rPr>
        <w:t>«DATUM2»</w:t>
      </w:r>
      <w:r w:rsidR="0058760B">
        <w:rPr>
          <w:color w:val="4F81BD" w:themeColor="accent1"/>
          <w:lang w:val="nl-BE"/>
        </w:rPr>
        <w:fldChar w:fldCharType="end"/>
      </w:r>
    </w:p>
    <w:p w14:paraId="02ACC059" w14:textId="77777777" w:rsidR="004D313A" w:rsidRPr="004D313A" w:rsidRDefault="004D313A" w:rsidP="004D313A">
      <w:pPr>
        <w:tabs>
          <w:tab w:val="left" w:pos="1134"/>
        </w:tabs>
        <w:jc w:val="center"/>
        <w:rPr>
          <w:sz w:val="22"/>
          <w:lang w:val="nl-BE"/>
        </w:rPr>
      </w:pPr>
    </w:p>
    <w:p w14:paraId="385BDAAB" w14:textId="77777777" w:rsidR="004D313A" w:rsidRPr="004D313A" w:rsidRDefault="004D313A" w:rsidP="004D313A">
      <w:pPr>
        <w:tabs>
          <w:tab w:val="left" w:pos="1134"/>
        </w:tabs>
        <w:jc w:val="center"/>
        <w:rPr>
          <w:sz w:val="22"/>
          <w:lang w:val="nl-BE"/>
        </w:rPr>
      </w:pPr>
    </w:p>
    <w:p w14:paraId="36E0AA46" w14:textId="77777777" w:rsidR="004D313A" w:rsidRPr="004D313A" w:rsidRDefault="004D313A" w:rsidP="004D313A">
      <w:pPr>
        <w:pStyle w:val="ContinuedBlockLabel"/>
        <w:tabs>
          <w:tab w:val="left" w:pos="1134"/>
          <w:tab w:val="center" w:pos="1701"/>
          <w:tab w:val="left" w:pos="4820"/>
          <w:tab w:val="center" w:pos="6804"/>
        </w:tabs>
        <w:rPr>
          <w:szCs w:val="20"/>
          <w:lang w:val="nl-BE"/>
        </w:rPr>
      </w:pPr>
      <w:r w:rsidRPr="004D313A">
        <w:rPr>
          <w:szCs w:val="20"/>
          <w:lang w:val="nl-BE"/>
        </w:rPr>
        <w:t>Namens de Distributienetbeheerder</w:t>
      </w:r>
      <w:r w:rsidRPr="004D313A">
        <w:rPr>
          <w:szCs w:val="20"/>
          <w:lang w:val="nl-BE"/>
        </w:rPr>
        <w:tab/>
        <w:t>Namens de Distributienetgebruiker</w:t>
      </w:r>
    </w:p>
    <w:p w14:paraId="3118D81F" w14:textId="6B983934" w:rsidR="004D313A" w:rsidRPr="0058760B" w:rsidRDefault="004D313A" w:rsidP="00756920">
      <w:pPr>
        <w:tabs>
          <w:tab w:val="left" w:pos="4820"/>
          <w:tab w:val="right" w:leader="underscore" w:pos="8789"/>
        </w:tabs>
        <w:rPr>
          <w:b/>
          <w:bCs/>
          <w:sz w:val="22"/>
          <w:lang w:val="nl-BE"/>
        </w:rPr>
      </w:pPr>
    </w:p>
    <w:p w14:paraId="2127F35B" w14:textId="77777777" w:rsidR="004D313A" w:rsidRPr="004D313A" w:rsidRDefault="004D313A" w:rsidP="004D313A">
      <w:pPr>
        <w:tabs>
          <w:tab w:val="right" w:leader="underscore" w:pos="3969"/>
          <w:tab w:val="left" w:pos="4820"/>
          <w:tab w:val="right" w:leader="underscore" w:pos="8789"/>
        </w:tabs>
        <w:rPr>
          <w:sz w:val="22"/>
          <w:lang w:val="nl-BE"/>
        </w:rPr>
      </w:pPr>
    </w:p>
    <w:p w14:paraId="14AFB896" w14:textId="77777777" w:rsidR="004D313A" w:rsidRPr="004D313A" w:rsidRDefault="004D313A" w:rsidP="004D313A">
      <w:pPr>
        <w:tabs>
          <w:tab w:val="right" w:leader="underscore" w:pos="3969"/>
          <w:tab w:val="left" w:pos="4820"/>
          <w:tab w:val="right" w:leader="underscore" w:pos="8789"/>
        </w:tabs>
        <w:rPr>
          <w:sz w:val="22"/>
          <w:lang w:val="nl-BE"/>
        </w:rPr>
      </w:pPr>
    </w:p>
    <w:p w14:paraId="344913C1" w14:textId="77777777" w:rsidR="004D313A" w:rsidRPr="004D313A" w:rsidRDefault="004D313A" w:rsidP="004D313A">
      <w:pPr>
        <w:tabs>
          <w:tab w:val="right" w:leader="underscore" w:pos="3969"/>
          <w:tab w:val="left" w:pos="4820"/>
          <w:tab w:val="right" w:leader="underscore" w:pos="8789"/>
        </w:tabs>
        <w:rPr>
          <w:sz w:val="22"/>
          <w:lang w:val="nl-BE"/>
        </w:rPr>
      </w:pPr>
    </w:p>
    <w:p w14:paraId="7287B4F8" w14:textId="77777777" w:rsidR="004D313A" w:rsidRPr="004D313A" w:rsidRDefault="004D313A" w:rsidP="004D313A">
      <w:pPr>
        <w:tabs>
          <w:tab w:val="right" w:leader="underscore" w:pos="3969"/>
          <w:tab w:val="left" w:pos="4820"/>
          <w:tab w:val="right" w:leader="underscore" w:pos="8789"/>
        </w:tabs>
        <w:rPr>
          <w:sz w:val="22"/>
          <w:lang w:val="nl-BE"/>
        </w:rPr>
      </w:pPr>
    </w:p>
    <w:p w14:paraId="5B367079" w14:textId="77777777" w:rsidR="004D313A" w:rsidRPr="004D313A" w:rsidRDefault="004D313A" w:rsidP="004D313A">
      <w:pPr>
        <w:tabs>
          <w:tab w:val="right" w:leader="underscore" w:pos="3969"/>
          <w:tab w:val="left" w:pos="4820"/>
          <w:tab w:val="right" w:leader="underscore" w:pos="8789"/>
        </w:tabs>
        <w:rPr>
          <w:sz w:val="22"/>
          <w:lang w:val="nl-BE"/>
        </w:rPr>
      </w:pPr>
      <w:r w:rsidRPr="004D313A">
        <w:rPr>
          <w:sz w:val="22"/>
          <w:lang w:val="nl-BE"/>
        </w:rPr>
        <w:tab/>
      </w:r>
      <w:r w:rsidRPr="004D313A">
        <w:rPr>
          <w:sz w:val="22"/>
          <w:lang w:val="nl-BE"/>
        </w:rPr>
        <w:tab/>
      </w:r>
      <w:r w:rsidRPr="004D313A">
        <w:rPr>
          <w:sz w:val="22"/>
          <w:lang w:val="nl-BE"/>
        </w:rPr>
        <w:tab/>
      </w:r>
    </w:p>
    <w:p w14:paraId="5285BED4" w14:textId="22BE382F" w:rsidR="004D313A" w:rsidRPr="004D313A" w:rsidRDefault="00547624" w:rsidP="004D313A">
      <w:pPr>
        <w:tabs>
          <w:tab w:val="left" w:pos="4820"/>
          <w:tab w:val="right" w:leader="underscore" w:pos="8789"/>
        </w:tabs>
        <w:rPr>
          <w:color w:val="4F81BD" w:themeColor="accent1"/>
          <w:sz w:val="22"/>
          <w:lang w:val="nl-BE"/>
        </w:rPr>
      </w:pPr>
      <w:r>
        <w:rPr>
          <w:noProof/>
          <w:color w:val="4F81BD" w:themeColor="accent1"/>
          <w:lang w:val="nl-BE"/>
        </w:rPr>
        <w:fldChar w:fldCharType="begin"/>
      </w:r>
      <w:r>
        <w:rPr>
          <w:noProof/>
          <w:color w:val="4F81BD" w:themeColor="accent1"/>
          <w:lang w:val="nl-BE"/>
        </w:rPr>
        <w:instrText xml:space="preserve"> MERGEFIELD  INFRAHOOFD  \* MERGEFORMAT </w:instrText>
      </w:r>
      <w:r>
        <w:rPr>
          <w:noProof/>
          <w:color w:val="4F81BD" w:themeColor="accent1"/>
          <w:lang w:val="nl-BE"/>
        </w:rPr>
        <w:fldChar w:fldCharType="separate"/>
      </w:r>
      <w:r>
        <w:rPr>
          <w:noProof/>
          <w:color w:val="4F81BD" w:themeColor="accent1"/>
          <w:lang w:val="nl-BE"/>
        </w:rPr>
        <w:t>«</w:t>
      </w:r>
      <w:r w:rsidR="008E6922">
        <w:rPr>
          <w:noProof/>
          <w:color w:val="4F81BD" w:themeColor="accent1"/>
          <w:lang w:val="nl-BE"/>
        </w:rPr>
        <w:t>REGIOMANAGER</w:t>
      </w:r>
      <w:r>
        <w:rPr>
          <w:noProof/>
          <w:color w:val="4F81BD" w:themeColor="accent1"/>
          <w:lang w:val="nl-BE"/>
        </w:rPr>
        <w:t>»</w:t>
      </w:r>
      <w:r>
        <w:rPr>
          <w:noProof/>
          <w:color w:val="4F81BD" w:themeColor="accent1"/>
          <w:lang w:val="nl-BE"/>
        </w:rPr>
        <w:fldChar w:fldCharType="end"/>
      </w:r>
      <w:r w:rsidR="004D313A" w:rsidRPr="004D313A">
        <w:rPr>
          <w:color w:val="4F81BD" w:themeColor="accent1"/>
          <w:sz w:val="22"/>
          <w:lang w:val="nl-BE"/>
        </w:rPr>
        <w:tab/>
      </w:r>
      <w:r w:rsidR="0058760B" w:rsidRPr="0058760B">
        <w:rPr>
          <w:color w:val="4F81BD" w:themeColor="accent1"/>
          <w:sz w:val="22"/>
          <w:lang w:val="nl-BE"/>
        </w:rPr>
        <w:t>&lt;……naam vertegenwoordiger……&gt;</w:t>
      </w:r>
    </w:p>
    <w:p w14:paraId="6FF6A1EE" w14:textId="5376C9AC" w:rsidR="004D313A" w:rsidRPr="004D313A" w:rsidRDefault="004D313A" w:rsidP="004D313A">
      <w:pPr>
        <w:tabs>
          <w:tab w:val="left" w:pos="4820"/>
          <w:tab w:val="right" w:leader="underscore" w:pos="8789"/>
        </w:tabs>
        <w:rPr>
          <w:color w:val="4F81BD" w:themeColor="accent1"/>
          <w:sz w:val="22"/>
          <w:lang w:val="nl-BE"/>
        </w:rPr>
      </w:pPr>
      <w:r w:rsidRPr="004D313A">
        <w:rPr>
          <w:color w:val="4F81BD" w:themeColor="accent1"/>
          <w:sz w:val="22"/>
          <w:lang w:val="nl-BE"/>
        </w:rPr>
        <w:t>Gevolmachtigde</w:t>
      </w:r>
      <w:r w:rsidRPr="004D313A">
        <w:rPr>
          <w:color w:val="4F81BD" w:themeColor="accent1"/>
          <w:sz w:val="22"/>
          <w:lang w:val="nl-BE"/>
        </w:rPr>
        <w:tab/>
      </w:r>
      <w:r w:rsidR="0058760B" w:rsidRPr="008F61D1">
        <w:rPr>
          <w:color w:val="4F81BD" w:themeColor="accent1"/>
          <w:sz w:val="22"/>
          <w:lang w:val="nl-BE"/>
        </w:rPr>
        <w:t>&lt;……functie vertegenwoordiger……&gt;</w:t>
      </w:r>
    </w:p>
    <w:p w14:paraId="63AF1C46" w14:textId="77777777" w:rsidR="004D313A" w:rsidRPr="004D313A" w:rsidRDefault="004D313A" w:rsidP="004D313A">
      <w:pPr>
        <w:tabs>
          <w:tab w:val="right" w:leader="underscore" w:pos="3969"/>
          <w:tab w:val="left" w:pos="4820"/>
          <w:tab w:val="right" w:leader="underscore" w:pos="8789"/>
        </w:tabs>
        <w:rPr>
          <w:color w:val="4F81BD" w:themeColor="accent1"/>
          <w:sz w:val="22"/>
          <w:lang w:val="nl-BE"/>
        </w:rPr>
      </w:pPr>
    </w:p>
    <w:p w14:paraId="4FDC8A29" w14:textId="77777777" w:rsidR="004D313A" w:rsidRPr="004D313A" w:rsidRDefault="004D313A" w:rsidP="004D313A">
      <w:pPr>
        <w:tabs>
          <w:tab w:val="right" w:leader="underscore" w:pos="3969"/>
          <w:tab w:val="left" w:pos="4820"/>
          <w:tab w:val="right" w:leader="underscore" w:pos="8789"/>
        </w:tabs>
        <w:rPr>
          <w:color w:val="4F81BD" w:themeColor="accent1"/>
          <w:sz w:val="22"/>
          <w:lang w:val="nl-BE"/>
        </w:rPr>
      </w:pPr>
    </w:p>
    <w:p w14:paraId="5AAD33D7" w14:textId="77777777" w:rsidR="004D313A" w:rsidRPr="004D313A" w:rsidRDefault="004D313A" w:rsidP="004D313A">
      <w:pPr>
        <w:tabs>
          <w:tab w:val="right" w:leader="underscore" w:pos="3969"/>
          <w:tab w:val="left" w:pos="4820"/>
          <w:tab w:val="right" w:leader="underscore" w:pos="8789"/>
        </w:tabs>
        <w:rPr>
          <w:color w:val="4F81BD" w:themeColor="accent1"/>
          <w:sz w:val="22"/>
          <w:lang w:val="nl-BE"/>
        </w:rPr>
      </w:pPr>
    </w:p>
    <w:p w14:paraId="41AA9CFE" w14:textId="77777777" w:rsidR="004D313A" w:rsidRPr="004D313A" w:rsidRDefault="004D313A" w:rsidP="004D313A">
      <w:pPr>
        <w:tabs>
          <w:tab w:val="right" w:leader="underscore" w:pos="3969"/>
          <w:tab w:val="left" w:pos="4820"/>
          <w:tab w:val="right" w:leader="underscore" w:pos="8789"/>
        </w:tabs>
        <w:rPr>
          <w:color w:val="4F81BD" w:themeColor="accent1"/>
          <w:sz w:val="22"/>
          <w:lang w:val="nl-BE"/>
        </w:rPr>
      </w:pPr>
    </w:p>
    <w:p w14:paraId="4955869A" w14:textId="77777777" w:rsidR="004D313A" w:rsidRPr="004D313A" w:rsidRDefault="004D313A" w:rsidP="004D313A">
      <w:pPr>
        <w:tabs>
          <w:tab w:val="right" w:leader="underscore" w:pos="3969"/>
          <w:tab w:val="left" w:pos="4820"/>
          <w:tab w:val="right" w:leader="underscore" w:pos="8789"/>
        </w:tabs>
        <w:rPr>
          <w:color w:val="4F81BD" w:themeColor="accent1"/>
          <w:sz w:val="22"/>
          <w:lang w:val="nl-BE"/>
        </w:rPr>
      </w:pPr>
    </w:p>
    <w:p w14:paraId="7119A2FA" w14:textId="77777777" w:rsidR="004D313A" w:rsidRPr="004D313A" w:rsidRDefault="004D313A" w:rsidP="004D313A">
      <w:pPr>
        <w:tabs>
          <w:tab w:val="right" w:leader="underscore" w:pos="3969"/>
          <w:tab w:val="left" w:pos="4820"/>
          <w:tab w:val="right" w:leader="underscore" w:pos="8789"/>
        </w:tabs>
        <w:rPr>
          <w:color w:val="4F81BD" w:themeColor="accent1"/>
          <w:sz w:val="22"/>
          <w:lang w:val="nl-BE"/>
        </w:rPr>
      </w:pPr>
      <w:r w:rsidRPr="004D313A">
        <w:rPr>
          <w:color w:val="4F81BD" w:themeColor="accent1"/>
          <w:sz w:val="22"/>
          <w:lang w:val="nl-BE"/>
        </w:rPr>
        <w:tab/>
      </w:r>
      <w:r w:rsidRPr="004D313A">
        <w:rPr>
          <w:color w:val="4F81BD" w:themeColor="accent1"/>
          <w:sz w:val="22"/>
          <w:lang w:val="nl-BE"/>
        </w:rPr>
        <w:tab/>
      </w:r>
      <w:r w:rsidRPr="004D313A">
        <w:rPr>
          <w:color w:val="4F81BD" w:themeColor="accent1"/>
          <w:sz w:val="22"/>
          <w:lang w:val="nl-BE"/>
        </w:rPr>
        <w:tab/>
      </w:r>
    </w:p>
    <w:p w14:paraId="7F8E3346" w14:textId="70EBFB88" w:rsidR="004D313A" w:rsidRPr="004D313A" w:rsidRDefault="00547624" w:rsidP="004D313A">
      <w:pPr>
        <w:tabs>
          <w:tab w:val="left" w:pos="4820"/>
          <w:tab w:val="right" w:leader="underscore" w:pos="8789"/>
        </w:tabs>
        <w:rPr>
          <w:color w:val="4F81BD" w:themeColor="accent1"/>
          <w:sz w:val="22"/>
          <w:lang w:val="nl-BE"/>
        </w:rPr>
      </w:pPr>
      <w:r>
        <w:rPr>
          <w:noProof/>
          <w:color w:val="4F81BD" w:themeColor="accent1"/>
          <w:lang w:val="nl-BE"/>
        </w:rPr>
        <w:fldChar w:fldCharType="begin"/>
      </w:r>
      <w:r>
        <w:rPr>
          <w:noProof/>
          <w:color w:val="4F81BD" w:themeColor="accent1"/>
          <w:lang w:val="nl-BE"/>
        </w:rPr>
        <w:instrText xml:space="preserve"> MERGEFIELD  ZC_PARTNER  \* MERGEFORMAT </w:instrText>
      </w:r>
      <w:r>
        <w:rPr>
          <w:noProof/>
          <w:color w:val="4F81BD" w:themeColor="accent1"/>
          <w:lang w:val="nl-BE"/>
        </w:rPr>
        <w:fldChar w:fldCharType="separate"/>
      </w:r>
      <w:r>
        <w:rPr>
          <w:noProof/>
          <w:color w:val="4F81BD" w:themeColor="accent1"/>
          <w:lang w:val="nl-BE"/>
        </w:rPr>
        <w:t>«ZC_PARTNER»</w:t>
      </w:r>
      <w:r>
        <w:rPr>
          <w:noProof/>
          <w:color w:val="4F81BD" w:themeColor="accent1"/>
          <w:lang w:val="nl-BE"/>
        </w:rPr>
        <w:fldChar w:fldCharType="end"/>
      </w:r>
      <w:r w:rsidR="004D313A" w:rsidRPr="004D313A">
        <w:rPr>
          <w:color w:val="4F81BD" w:themeColor="accent1"/>
          <w:sz w:val="22"/>
          <w:lang w:val="nl-BE"/>
        </w:rPr>
        <w:tab/>
      </w:r>
      <w:r w:rsidR="0058760B" w:rsidRPr="0058760B">
        <w:rPr>
          <w:color w:val="4F81BD" w:themeColor="accent1"/>
          <w:sz w:val="22"/>
          <w:lang w:val="nl-BE"/>
        </w:rPr>
        <w:t>&lt;……naam vertegenwoordiger……&gt;</w:t>
      </w:r>
    </w:p>
    <w:p w14:paraId="0D51F859" w14:textId="5B660586" w:rsidR="00B21784" w:rsidRDefault="004D313A" w:rsidP="00F23797">
      <w:pPr>
        <w:tabs>
          <w:tab w:val="left" w:pos="4820"/>
          <w:tab w:val="right" w:leader="underscore" w:pos="8789"/>
        </w:tabs>
        <w:rPr>
          <w:color w:val="4F81BD" w:themeColor="accent1"/>
          <w:sz w:val="22"/>
          <w:lang w:val="nl-BE"/>
        </w:rPr>
      </w:pPr>
      <w:r w:rsidRPr="00F23797">
        <w:rPr>
          <w:color w:val="4F81BD" w:themeColor="accent1"/>
          <w:sz w:val="22"/>
          <w:lang w:val="nl-BE"/>
        </w:rPr>
        <w:t>Gevolmachtigde</w:t>
      </w:r>
      <w:r w:rsidRPr="00F23797">
        <w:rPr>
          <w:color w:val="4F81BD" w:themeColor="accent1"/>
          <w:sz w:val="22"/>
          <w:lang w:val="nl-BE"/>
        </w:rPr>
        <w:tab/>
      </w:r>
      <w:r w:rsidR="0058760B" w:rsidRPr="0058760B">
        <w:rPr>
          <w:color w:val="4F81BD" w:themeColor="accent1"/>
          <w:sz w:val="22"/>
          <w:lang w:val="nl-BE"/>
        </w:rPr>
        <w:t>&lt;……functie vertegenwoordiger……&gt;</w:t>
      </w:r>
    </w:p>
    <w:p w14:paraId="176552B7" w14:textId="77777777" w:rsidR="008F61D1" w:rsidRDefault="008F61D1" w:rsidP="00F23797">
      <w:pPr>
        <w:tabs>
          <w:tab w:val="left" w:pos="4820"/>
          <w:tab w:val="right" w:leader="underscore" w:pos="8789"/>
        </w:tabs>
        <w:rPr>
          <w:lang w:val="nl-BE"/>
        </w:rPr>
        <w:sectPr w:rsidR="008F61D1" w:rsidSect="00B25795">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134" w:bottom="1134" w:left="1985" w:header="709" w:footer="709" w:gutter="0"/>
          <w:cols w:space="708"/>
          <w:docGrid w:linePitch="360"/>
        </w:sectPr>
      </w:pPr>
    </w:p>
    <w:p w14:paraId="6F03CC63" w14:textId="18596DF3" w:rsidR="008F61D1" w:rsidRDefault="008F61D1" w:rsidP="008F61D1">
      <w:pPr>
        <w:rPr>
          <w:sz w:val="12"/>
          <w:lang w:val="nl-BE"/>
        </w:rPr>
      </w:pPr>
      <w:r w:rsidRPr="008F61D1">
        <w:rPr>
          <w:rFonts w:cs="Arial"/>
          <w:sz w:val="16"/>
          <w:lang w:val="nl-BE"/>
        </w:rPr>
        <w:lastRenderedPageBreak/>
        <w:t xml:space="preserve">Bijlage bij Aansluitingscontract Aardgas – Middendruk voor afname van aardgas met Aansluitingscapaciteit ≥ 300 m³(n)/h </w:t>
      </w:r>
    </w:p>
    <w:p w14:paraId="39DBCF55" w14:textId="77777777" w:rsidR="00B21AB7" w:rsidRPr="00B21AB7" w:rsidRDefault="00B21AB7" w:rsidP="008F61D1">
      <w:pPr>
        <w:rPr>
          <w:sz w:val="12"/>
          <w:lang w:val="nl-BE"/>
        </w:rPr>
      </w:pPr>
    </w:p>
    <w:p w14:paraId="25BDF1A1" w14:textId="456A0EE0" w:rsidR="00B21AB7" w:rsidRPr="00E36C3A" w:rsidRDefault="008F61D1" w:rsidP="008F61D1">
      <w:pPr>
        <w:pStyle w:val="Titel"/>
        <w:rPr>
          <w:rFonts w:eastAsiaTheme="majorEastAsia" w:cs="Arial"/>
          <w:bCs w:val="0"/>
          <w:spacing w:val="5"/>
          <w:kern w:val="28"/>
          <w:sz w:val="28"/>
          <w:szCs w:val="52"/>
          <w:u w:val="none"/>
        </w:rPr>
      </w:pPr>
      <w:r w:rsidRPr="00E36C3A">
        <w:rPr>
          <w:rFonts w:eastAsiaTheme="majorEastAsia" w:cs="Arial"/>
          <w:bCs w:val="0"/>
          <w:spacing w:val="5"/>
          <w:kern w:val="28"/>
          <w:sz w:val="28"/>
          <w:szCs w:val="52"/>
          <w:u w:val="none"/>
        </w:rPr>
        <w:t>Algemene voorwaarden</w:t>
      </w:r>
    </w:p>
    <w:p w14:paraId="412C51B6" w14:textId="77777777" w:rsidR="008F61D1" w:rsidRPr="00E36C3A" w:rsidRDefault="008F61D1" w:rsidP="008F61D1">
      <w:pPr>
        <w:pStyle w:val="Ondertitel"/>
        <w:rPr>
          <w:sz w:val="18"/>
        </w:rPr>
      </w:pPr>
      <w:r w:rsidRPr="00E36C3A">
        <w:rPr>
          <w:sz w:val="18"/>
        </w:rPr>
        <w:t xml:space="preserve">betreffende de Aansluitingen op het Aardgasdistributienet Middendruk voor afname van aardgas met Aansluitingscapaciteit ≥ 300m3(n)/h </w:t>
      </w:r>
    </w:p>
    <w:p w14:paraId="3F61EB67" w14:textId="217B95D4" w:rsidR="008F61D1" w:rsidRPr="008F61D1" w:rsidRDefault="008F61D1" w:rsidP="008F61D1">
      <w:pPr>
        <w:rPr>
          <w:lang w:val="nl-BE"/>
        </w:rPr>
      </w:pPr>
    </w:p>
    <w:p w14:paraId="6962EC1B" w14:textId="77777777" w:rsidR="00E36C3A" w:rsidRDefault="00E36C3A" w:rsidP="00A8168C">
      <w:pPr>
        <w:pStyle w:val="Inhopg1"/>
        <w:rPr>
          <w:sz w:val="16"/>
          <w:lang w:val="nl-BE"/>
        </w:rPr>
        <w:sectPr w:rsidR="00E36C3A" w:rsidSect="007135E2">
          <w:headerReference w:type="even" r:id="rId14"/>
          <w:footerReference w:type="default" r:id="rId15"/>
          <w:headerReference w:type="first" r:id="rId16"/>
          <w:pgSz w:w="11906" w:h="16838"/>
          <w:pgMar w:top="1440" w:right="1440" w:bottom="1440" w:left="1440" w:header="708" w:footer="708" w:gutter="0"/>
          <w:cols w:space="708"/>
          <w:docGrid w:linePitch="360"/>
        </w:sectPr>
      </w:pPr>
    </w:p>
    <w:p w14:paraId="2A9097ED" w14:textId="1D7695F0" w:rsidR="008F61D1" w:rsidRPr="00E36C3A" w:rsidRDefault="008F61D1" w:rsidP="00A8168C">
      <w:pPr>
        <w:pStyle w:val="Inhopg1"/>
        <w:rPr>
          <w:rStyle w:val="Hyperlink"/>
          <w:b w:val="0"/>
          <w:bCs w:val="0"/>
          <w:i w:val="0"/>
          <w:iCs w:val="0"/>
          <w:color w:val="000000" w:themeColor="text1"/>
          <w:sz w:val="16"/>
          <w:lang w:val="nl-BE"/>
        </w:rPr>
      </w:pPr>
      <w:r w:rsidRPr="00E36C3A">
        <w:rPr>
          <w:sz w:val="16"/>
          <w:lang w:val="nl-BE"/>
        </w:rPr>
        <w:t>Artikel 1</w:t>
      </w:r>
      <w:r w:rsidRPr="00E36C3A">
        <w:rPr>
          <w:sz w:val="16"/>
          <w:lang w:val="nl-BE"/>
        </w:rPr>
        <w:tab/>
        <w:t>Toepassingsgebied en inhoud</w:t>
      </w:r>
    </w:p>
    <w:p w14:paraId="082119D8" w14:textId="2054093D" w:rsidR="008F61D1" w:rsidRPr="00E36C3A" w:rsidRDefault="008F61D1" w:rsidP="00A8168C">
      <w:pPr>
        <w:pStyle w:val="Inhopg1"/>
        <w:rPr>
          <w:rStyle w:val="Hyperlink"/>
          <w:b w:val="0"/>
          <w:bCs w:val="0"/>
          <w:i w:val="0"/>
          <w:iCs w:val="0"/>
          <w:color w:val="000000" w:themeColor="text1"/>
          <w:sz w:val="16"/>
          <w:lang w:val="nl-BE"/>
        </w:rPr>
      </w:pPr>
      <w:r w:rsidRPr="00E36C3A">
        <w:rPr>
          <w:sz w:val="16"/>
          <w:lang w:val="nl-BE"/>
        </w:rPr>
        <w:t>Artikel 2</w:t>
      </w:r>
      <w:r w:rsidRPr="00E36C3A">
        <w:rPr>
          <w:sz w:val="16"/>
          <w:lang w:val="nl-BE"/>
        </w:rPr>
        <w:tab/>
        <w:t>Terminologie</w:t>
      </w:r>
    </w:p>
    <w:p w14:paraId="78E93687" w14:textId="01104679" w:rsidR="008F61D1" w:rsidRPr="00E36C3A" w:rsidRDefault="008F61D1" w:rsidP="008F61D1">
      <w:pPr>
        <w:pStyle w:val="Inhopg2"/>
        <w:tabs>
          <w:tab w:val="left" w:pos="800"/>
          <w:tab w:val="right" w:leader="dot" w:pos="9016"/>
        </w:tabs>
        <w:autoSpaceDE/>
        <w:autoSpaceDN/>
        <w:adjustRightInd/>
        <w:spacing w:before="120" w:after="0"/>
        <w:rPr>
          <w:rStyle w:val="Hyperlink"/>
          <w:rFonts w:asciiTheme="minorHAnsi" w:eastAsiaTheme="minorHAnsi" w:hAnsiTheme="minorHAnsi" w:cstheme="minorHAnsi"/>
          <w:color w:val="000000" w:themeColor="text1"/>
          <w:sz w:val="14"/>
          <w:szCs w:val="22"/>
          <w:lang w:val="nl-BE"/>
          <w14:scene3d>
            <w14:camera w14:prst="orthographicFront"/>
            <w14:lightRig w14:rig="threePt" w14:dir="t">
              <w14:rot w14:lat="0" w14:lon="0" w14:rev="0"/>
            </w14:lightRig>
          </w14:scene3d>
        </w:rPr>
      </w:pPr>
      <w:r w:rsidRPr="00E36C3A">
        <w:rPr>
          <w:rFonts w:asciiTheme="minorHAnsi" w:eastAsiaTheme="minorHAnsi" w:hAnsiTheme="minorHAnsi" w:cstheme="minorHAnsi"/>
          <w:b/>
          <w:bCs/>
          <w:noProof/>
          <w:sz w:val="14"/>
          <w:szCs w:val="22"/>
          <w:lang w:val="nl-BE"/>
          <w14:scene3d>
            <w14:camera w14:prst="orthographicFront"/>
            <w14:lightRig w14:rig="threePt" w14:dir="t">
              <w14:rot w14:lat="0" w14:lon="0" w14:rev="0"/>
            </w14:lightRig>
          </w14:scene3d>
        </w:rPr>
        <w:t>2.1.</w:t>
      </w:r>
      <w:r w:rsidRPr="00E36C3A">
        <w:rPr>
          <w:rFonts w:asciiTheme="minorHAnsi" w:eastAsiaTheme="minorHAnsi" w:hAnsiTheme="minorHAnsi" w:cstheme="minorHAnsi"/>
          <w:b/>
          <w:bCs/>
          <w:sz w:val="14"/>
          <w:szCs w:val="22"/>
          <w:lang w:val="nl-BE"/>
          <w14:scene3d>
            <w14:camera w14:prst="orthographicFront"/>
            <w14:lightRig w14:rig="threePt" w14:dir="t">
              <w14:rot w14:lat="0" w14:lon="0" w14:rev="0"/>
            </w14:lightRig>
          </w14:scene3d>
        </w:rPr>
        <w:tab/>
      </w:r>
      <w:r w:rsidRPr="00E36C3A">
        <w:rPr>
          <w:rFonts w:asciiTheme="minorHAnsi" w:eastAsiaTheme="minorHAnsi" w:hAnsiTheme="minorHAnsi" w:cstheme="minorHAnsi"/>
          <w:b/>
          <w:bCs/>
          <w:noProof/>
          <w:sz w:val="14"/>
          <w:szCs w:val="22"/>
          <w:lang w:val="nl-BE"/>
          <w14:scene3d>
            <w14:camera w14:prst="orthographicFront"/>
            <w14:lightRig w14:rig="threePt" w14:dir="t">
              <w14:rot w14:lat="0" w14:lon="0" w14:rev="0"/>
            </w14:lightRig>
          </w14:scene3d>
        </w:rPr>
        <w:t>Terminologie uit relevante wetgeving en voorschriften</w:t>
      </w:r>
    </w:p>
    <w:p w14:paraId="25DDC8B0" w14:textId="1AE16D06" w:rsidR="008F61D1" w:rsidRPr="00E36C3A" w:rsidRDefault="008F61D1" w:rsidP="008A2CEB">
      <w:pPr>
        <w:pStyle w:val="Inhopg2"/>
        <w:tabs>
          <w:tab w:val="left" w:pos="800"/>
          <w:tab w:val="right" w:leader="dot" w:pos="9016"/>
        </w:tabs>
        <w:autoSpaceDE/>
        <w:autoSpaceDN/>
        <w:adjustRightInd/>
        <w:spacing w:before="120" w:after="0"/>
        <w:rPr>
          <w:rStyle w:val="Hyperlink"/>
          <w:rFonts w:asciiTheme="minorHAnsi" w:eastAsiaTheme="minorHAnsi" w:hAnsiTheme="minorHAnsi" w:cstheme="minorHAnsi"/>
          <w:color w:val="000000" w:themeColor="text1"/>
          <w:sz w:val="14"/>
          <w:szCs w:val="22"/>
          <w:lang w:val="nl-BE"/>
          <w14:scene3d>
            <w14:camera w14:prst="orthographicFront"/>
            <w14:lightRig w14:rig="threePt" w14:dir="t">
              <w14:rot w14:lat="0" w14:lon="0" w14:rev="0"/>
            </w14:lightRig>
          </w14:scene3d>
        </w:rPr>
      </w:pPr>
      <w:r w:rsidRPr="00E36C3A">
        <w:rPr>
          <w:rFonts w:asciiTheme="minorHAnsi" w:eastAsiaTheme="minorHAnsi" w:hAnsiTheme="minorHAnsi" w:cstheme="minorHAnsi"/>
          <w:b/>
          <w:bCs/>
          <w:noProof/>
          <w:sz w:val="14"/>
          <w:szCs w:val="22"/>
          <w:lang w:val="nl-BE"/>
          <w14:scene3d>
            <w14:camera w14:prst="orthographicFront"/>
            <w14:lightRig w14:rig="threePt" w14:dir="t">
              <w14:rot w14:lat="0" w14:lon="0" w14:rev="0"/>
            </w14:lightRig>
          </w14:scene3d>
        </w:rPr>
        <w:t>2.2.</w:t>
      </w:r>
      <w:r w:rsidRPr="00E36C3A">
        <w:rPr>
          <w:rFonts w:asciiTheme="minorHAnsi" w:eastAsiaTheme="minorHAnsi" w:hAnsiTheme="minorHAnsi" w:cstheme="minorHAnsi"/>
          <w:b/>
          <w:bCs/>
          <w:sz w:val="14"/>
          <w:szCs w:val="22"/>
          <w:lang w:val="nl-BE"/>
          <w14:scene3d>
            <w14:camera w14:prst="orthographicFront"/>
            <w14:lightRig w14:rig="threePt" w14:dir="t">
              <w14:rot w14:lat="0" w14:lon="0" w14:rev="0"/>
            </w14:lightRig>
          </w14:scene3d>
        </w:rPr>
        <w:tab/>
      </w:r>
      <w:r w:rsidRPr="00E36C3A">
        <w:rPr>
          <w:rFonts w:asciiTheme="minorHAnsi" w:eastAsiaTheme="minorHAnsi" w:hAnsiTheme="minorHAnsi" w:cstheme="minorHAnsi"/>
          <w:b/>
          <w:bCs/>
          <w:noProof/>
          <w:sz w:val="14"/>
          <w:szCs w:val="22"/>
          <w:lang w:val="nl-BE"/>
          <w14:scene3d>
            <w14:camera w14:prst="orthographicFront"/>
            <w14:lightRig w14:rig="threePt" w14:dir="t">
              <w14:rot w14:lat="0" w14:lon="0" w14:rev="0"/>
            </w14:lightRig>
          </w14:scene3d>
        </w:rPr>
        <w:t>Aanvullende terminologie</w:t>
      </w:r>
    </w:p>
    <w:p w14:paraId="4868D44A" w14:textId="79813580" w:rsidR="008F61D1" w:rsidRPr="00E36C3A" w:rsidRDefault="008F61D1" w:rsidP="00A8168C">
      <w:pPr>
        <w:pStyle w:val="Inhopg1"/>
        <w:rPr>
          <w:rStyle w:val="Hyperlink"/>
          <w:color w:val="000000" w:themeColor="text1"/>
          <w:sz w:val="16"/>
          <w:lang w:val="nl-BE"/>
        </w:rPr>
      </w:pPr>
      <w:r w:rsidRPr="00E36C3A">
        <w:rPr>
          <w:sz w:val="16"/>
          <w:lang w:val="nl-BE"/>
        </w:rPr>
        <w:t>Artikel 3</w:t>
      </w:r>
      <w:r w:rsidRPr="00E36C3A">
        <w:rPr>
          <w:sz w:val="16"/>
          <w:lang w:val="nl-BE"/>
        </w:rPr>
        <w:tab/>
        <w:t>Contractuele relatie DNB-DNG: doorwerking ten aanzien van derden</w:t>
      </w:r>
    </w:p>
    <w:p w14:paraId="78A4F83E" w14:textId="40190996" w:rsidR="008F61D1" w:rsidRPr="00E36C3A" w:rsidRDefault="008F61D1" w:rsidP="00A8168C">
      <w:pPr>
        <w:pStyle w:val="Inhopg1"/>
        <w:rPr>
          <w:rStyle w:val="Hyperlink"/>
          <w:color w:val="000000" w:themeColor="text1"/>
          <w:sz w:val="16"/>
          <w:lang w:val="nl-BE"/>
        </w:rPr>
      </w:pPr>
      <w:r w:rsidRPr="00E36C3A">
        <w:rPr>
          <w:sz w:val="16"/>
          <w:lang w:val="nl-BE"/>
        </w:rPr>
        <w:t>Artikel 4</w:t>
      </w:r>
      <w:r w:rsidRPr="00E36C3A">
        <w:rPr>
          <w:sz w:val="16"/>
          <w:lang w:val="nl-BE"/>
        </w:rPr>
        <w:tab/>
        <w:t>Eigendomsbepaling van de Aansluiting</w:t>
      </w:r>
    </w:p>
    <w:p w14:paraId="6BD448CC" w14:textId="469FA141" w:rsidR="008F61D1" w:rsidRPr="00E36C3A" w:rsidRDefault="008F61D1" w:rsidP="00A8168C">
      <w:pPr>
        <w:pStyle w:val="Inhopg1"/>
        <w:rPr>
          <w:rStyle w:val="Hyperlink"/>
          <w:color w:val="000000" w:themeColor="text1"/>
          <w:sz w:val="16"/>
          <w:lang w:val="nl-BE"/>
        </w:rPr>
      </w:pPr>
      <w:r w:rsidRPr="00E36C3A">
        <w:rPr>
          <w:sz w:val="16"/>
          <w:lang w:val="nl-BE"/>
        </w:rPr>
        <w:t>Artikel 5</w:t>
      </w:r>
      <w:r w:rsidRPr="00E36C3A">
        <w:rPr>
          <w:sz w:val="16"/>
          <w:lang w:val="nl-BE"/>
        </w:rPr>
        <w:tab/>
        <w:t>Tenlastelegging van vervangingsinvesteringen</w:t>
      </w:r>
    </w:p>
    <w:p w14:paraId="49F9B810" w14:textId="614D78EA" w:rsidR="008F61D1" w:rsidRPr="00E36C3A" w:rsidRDefault="008F61D1" w:rsidP="00A8168C">
      <w:pPr>
        <w:pStyle w:val="Inhopg1"/>
        <w:rPr>
          <w:rStyle w:val="Hyperlink"/>
          <w:color w:val="000000" w:themeColor="text1"/>
          <w:sz w:val="16"/>
          <w:lang w:val="nl-BE"/>
        </w:rPr>
      </w:pPr>
      <w:r w:rsidRPr="00E36C3A">
        <w:rPr>
          <w:sz w:val="16"/>
          <w:lang w:val="nl-BE"/>
        </w:rPr>
        <w:t>Artikel 6</w:t>
      </w:r>
      <w:r w:rsidRPr="00E36C3A">
        <w:rPr>
          <w:sz w:val="16"/>
          <w:lang w:val="nl-BE"/>
        </w:rPr>
        <w:tab/>
        <w:t>Beheer van de Aansluiting</w:t>
      </w:r>
    </w:p>
    <w:p w14:paraId="0C1724B1" w14:textId="3D8C1A3C" w:rsidR="008F61D1" w:rsidRPr="00E36C3A" w:rsidRDefault="008F61D1" w:rsidP="008A2CEB">
      <w:pPr>
        <w:pStyle w:val="Inhopg2"/>
        <w:tabs>
          <w:tab w:val="left" w:pos="800"/>
          <w:tab w:val="right" w:leader="dot" w:pos="9016"/>
        </w:tabs>
        <w:autoSpaceDE/>
        <w:autoSpaceDN/>
        <w:adjustRightInd/>
        <w:spacing w:before="120" w:after="0"/>
        <w:rPr>
          <w:rStyle w:val="Hyperlink"/>
          <w:rFonts w:asciiTheme="minorHAnsi" w:eastAsiaTheme="minorHAnsi" w:hAnsiTheme="minorHAnsi" w:cstheme="minorHAnsi"/>
          <w:color w:val="000000" w:themeColor="text1"/>
          <w:sz w:val="14"/>
          <w:szCs w:val="22"/>
          <w:lang w:val="nl-BE"/>
          <w14:scene3d>
            <w14:camera w14:prst="orthographicFront"/>
            <w14:lightRig w14:rig="threePt" w14:dir="t">
              <w14:rot w14:lat="0" w14:lon="0" w14:rev="0"/>
            </w14:lightRig>
          </w14:scene3d>
        </w:rPr>
      </w:pPr>
      <w:r w:rsidRPr="00E36C3A">
        <w:rPr>
          <w:rFonts w:asciiTheme="minorHAnsi" w:eastAsiaTheme="minorHAnsi" w:hAnsiTheme="minorHAnsi" w:cstheme="minorHAnsi"/>
          <w:b/>
          <w:bCs/>
          <w:noProof/>
          <w:sz w:val="14"/>
          <w:szCs w:val="22"/>
          <w:lang w:val="nl-BE"/>
          <w14:scene3d>
            <w14:camera w14:prst="orthographicFront"/>
            <w14:lightRig w14:rig="threePt" w14:dir="t">
              <w14:rot w14:lat="0" w14:lon="0" w14:rev="0"/>
            </w14:lightRig>
          </w14:scene3d>
        </w:rPr>
        <w:t>6.1.</w:t>
      </w:r>
      <w:r w:rsidRPr="00E36C3A">
        <w:rPr>
          <w:rFonts w:asciiTheme="minorHAnsi" w:eastAsiaTheme="minorHAnsi" w:hAnsiTheme="minorHAnsi" w:cstheme="minorHAnsi"/>
          <w:b/>
          <w:bCs/>
          <w:sz w:val="14"/>
          <w:szCs w:val="22"/>
          <w:lang w:val="nl-BE"/>
          <w14:scene3d>
            <w14:camera w14:prst="orthographicFront"/>
            <w14:lightRig w14:rig="threePt" w14:dir="t">
              <w14:rot w14:lat="0" w14:lon="0" w14:rev="0"/>
            </w14:lightRig>
          </w14:scene3d>
        </w:rPr>
        <w:tab/>
      </w:r>
      <w:r w:rsidRPr="00E36C3A">
        <w:rPr>
          <w:rFonts w:asciiTheme="minorHAnsi" w:eastAsiaTheme="minorHAnsi" w:hAnsiTheme="minorHAnsi" w:cstheme="minorHAnsi"/>
          <w:b/>
          <w:bCs/>
          <w:noProof/>
          <w:sz w:val="14"/>
          <w:szCs w:val="22"/>
          <w:lang w:val="nl-BE"/>
          <w14:scene3d>
            <w14:camera w14:prst="orthographicFront"/>
            <w14:lightRig w14:rig="threePt" w14:dir="t">
              <w14:rot w14:lat="0" w14:lon="0" w14:rev="0"/>
            </w14:lightRig>
          </w14:scene3d>
        </w:rPr>
        <w:t>Beheer van de Aansluiting door de DNB</w:t>
      </w:r>
    </w:p>
    <w:p w14:paraId="6EE75CD6" w14:textId="230C69D0" w:rsidR="008F61D1" w:rsidRPr="00E36C3A" w:rsidRDefault="008F61D1" w:rsidP="008A2CEB">
      <w:pPr>
        <w:pStyle w:val="Inhopg2"/>
        <w:tabs>
          <w:tab w:val="left" w:pos="800"/>
          <w:tab w:val="right" w:leader="dot" w:pos="9016"/>
        </w:tabs>
        <w:autoSpaceDE/>
        <w:autoSpaceDN/>
        <w:adjustRightInd/>
        <w:spacing w:before="120" w:after="0"/>
        <w:rPr>
          <w:rStyle w:val="Hyperlink"/>
          <w:rFonts w:asciiTheme="minorHAnsi" w:eastAsiaTheme="minorHAnsi" w:hAnsiTheme="minorHAnsi" w:cstheme="minorHAnsi"/>
          <w:color w:val="000000" w:themeColor="text1"/>
          <w:sz w:val="14"/>
          <w:szCs w:val="22"/>
          <w:lang w:val="nl-BE"/>
          <w14:scene3d>
            <w14:camera w14:prst="orthographicFront"/>
            <w14:lightRig w14:rig="threePt" w14:dir="t">
              <w14:rot w14:lat="0" w14:lon="0" w14:rev="0"/>
            </w14:lightRig>
          </w14:scene3d>
        </w:rPr>
      </w:pPr>
      <w:r w:rsidRPr="00E36C3A">
        <w:rPr>
          <w:rFonts w:asciiTheme="minorHAnsi" w:eastAsiaTheme="minorHAnsi" w:hAnsiTheme="minorHAnsi" w:cstheme="minorHAnsi"/>
          <w:b/>
          <w:bCs/>
          <w:noProof/>
          <w:sz w:val="14"/>
          <w:szCs w:val="22"/>
          <w:lang w:val="nl-BE"/>
          <w14:scene3d>
            <w14:camera w14:prst="orthographicFront"/>
            <w14:lightRig w14:rig="threePt" w14:dir="t">
              <w14:rot w14:lat="0" w14:lon="0" w14:rev="0"/>
            </w14:lightRig>
          </w14:scene3d>
        </w:rPr>
        <w:t>6.2.</w:t>
      </w:r>
      <w:r w:rsidRPr="00E36C3A">
        <w:rPr>
          <w:rFonts w:asciiTheme="minorHAnsi" w:eastAsiaTheme="minorHAnsi" w:hAnsiTheme="minorHAnsi" w:cstheme="minorHAnsi"/>
          <w:b/>
          <w:bCs/>
          <w:sz w:val="14"/>
          <w:szCs w:val="22"/>
          <w:lang w:val="nl-BE"/>
          <w14:scene3d>
            <w14:camera w14:prst="orthographicFront"/>
            <w14:lightRig w14:rig="threePt" w14:dir="t">
              <w14:rot w14:lat="0" w14:lon="0" w14:rev="0"/>
            </w14:lightRig>
          </w14:scene3d>
        </w:rPr>
        <w:tab/>
      </w:r>
      <w:r w:rsidRPr="00E36C3A">
        <w:rPr>
          <w:rFonts w:asciiTheme="minorHAnsi" w:eastAsiaTheme="minorHAnsi" w:hAnsiTheme="minorHAnsi" w:cstheme="minorHAnsi"/>
          <w:b/>
          <w:bCs/>
          <w:noProof/>
          <w:sz w:val="14"/>
          <w:szCs w:val="22"/>
          <w:lang w:val="nl-BE"/>
          <w14:scene3d>
            <w14:camera w14:prst="orthographicFront"/>
            <w14:lightRig w14:rig="threePt" w14:dir="t">
              <w14:rot w14:lat="0" w14:lon="0" w14:rev="0"/>
            </w14:lightRig>
          </w14:scene3d>
        </w:rPr>
        <w:t>Verplichtingen van de DNG</w:t>
      </w:r>
    </w:p>
    <w:p w14:paraId="3CE162F9" w14:textId="04223756" w:rsidR="008F61D1" w:rsidRPr="00E36C3A" w:rsidRDefault="008F61D1" w:rsidP="00E13D24">
      <w:pPr>
        <w:pStyle w:val="Inhopg3"/>
        <w:rPr>
          <w:rStyle w:val="Hyperlink"/>
          <w:color w:val="000000" w:themeColor="text1"/>
          <w:sz w:val="12"/>
        </w:rPr>
      </w:pPr>
      <w:r w:rsidRPr="00E36C3A">
        <w:rPr>
          <w:sz w:val="12"/>
        </w:rPr>
        <w:t>6.2.1.</w:t>
      </w:r>
      <w:r w:rsidRPr="00E36C3A">
        <w:rPr>
          <w:sz w:val="12"/>
        </w:rPr>
        <w:tab/>
        <w:t>Voldoen aan toepasselijke voorschriften</w:t>
      </w:r>
    </w:p>
    <w:p w14:paraId="2D9EAD38" w14:textId="6F9E91E1" w:rsidR="008F61D1" w:rsidRPr="00E36C3A" w:rsidRDefault="008F61D1" w:rsidP="00E13D24">
      <w:pPr>
        <w:pStyle w:val="Inhopg3"/>
        <w:rPr>
          <w:rFonts w:eastAsiaTheme="minorEastAsia" w:cstheme="minorBidi"/>
          <w:sz w:val="14"/>
          <w:szCs w:val="22"/>
          <w:lang w:eastAsia="nl-BE"/>
        </w:rPr>
      </w:pPr>
      <w:r w:rsidRPr="00E36C3A">
        <w:rPr>
          <w:sz w:val="12"/>
        </w:rPr>
        <w:t>6.2.2.</w:t>
      </w:r>
      <w:r w:rsidRPr="00E36C3A">
        <w:rPr>
          <w:rFonts w:eastAsiaTheme="minorEastAsia" w:cstheme="minorBidi"/>
          <w:sz w:val="14"/>
          <w:szCs w:val="22"/>
          <w:lang w:eastAsia="nl-BE"/>
        </w:rPr>
        <w:tab/>
      </w:r>
      <w:r w:rsidRPr="00E36C3A">
        <w:rPr>
          <w:sz w:val="12"/>
        </w:rPr>
        <w:t>Voorkomen van schade</w:t>
      </w:r>
    </w:p>
    <w:p w14:paraId="3B68111D" w14:textId="6DD933DA" w:rsidR="008F61D1" w:rsidRPr="00E36C3A" w:rsidRDefault="008F61D1" w:rsidP="00E13D24">
      <w:pPr>
        <w:pStyle w:val="Inhopg3"/>
        <w:rPr>
          <w:rFonts w:eastAsiaTheme="minorEastAsia" w:cstheme="minorBidi"/>
          <w:sz w:val="14"/>
          <w:szCs w:val="22"/>
          <w:lang w:eastAsia="nl-BE"/>
        </w:rPr>
      </w:pPr>
      <w:r w:rsidRPr="00E36C3A">
        <w:rPr>
          <w:sz w:val="12"/>
        </w:rPr>
        <w:t>6.2.3.</w:t>
      </w:r>
      <w:r w:rsidRPr="00E36C3A">
        <w:rPr>
          <w:rFonts w:eastAsiaTheme="minorEastAsia" w:cstheme="minorBidi"/>
          <w:sz w:val="14"/>
          <w:szCs w:val="22"/>
          <w:lang w:eastAsia="nl-BE"/>
        </w:rPr>
        <w:tab/>
      </w:r>
      <w:r w:rsidRPr="00E36C3A">
        <w:rPr>
          <w:sz w:val="12"/>
        </w:rPr>
        <w:t>Verlenen van toegang aan de DNB</w:t>
      </w:r>
    </w:p>
    <w:p w14:paraId="22656239" w14:textId="618B831B" w:rsidR="008F61D1" w:rsidRPr="00E36C3A" w:rsidRDefault="008F61D1" w:rsidP="00E13D24">
      <w:pPr>
        <w:pStyle w:val="Inhopg3"/>
        <w:rPr>
          <w:rFonts w:eastAsiaTheme="minorEastAsia" w:cstheme="minorBidi"/>
          <w:sz w:val="14"/>
          <w:szCs w:val="22"/>
          <w:lang w:eastAsia="nl-BE"/>
        </w:rPr>
      </w:pPr>
      <w:r w:rsidRPr="00E36C3A">
        <w:rPr>
          <w:sz w:val="12"/>
        </w:rPr>
        <w:t>6.2.4.</w:t>
      </w:r>
      <w:r w:rsidRPr="00E36C3A">
        <w:rPr>
          <w:rFonts w:eastAsiaTheme="minorEastAsia" w:cstheme="minorBidi"/>
          <w:sz w:val="14"/>
          <w:szCs w:val="22"/>
          <w:lang w:eastAsia="nl-BE"/>
        </w:rPr>
        <w:tab/>
      </w:r>
      <w:r w:rsidRPr="00E36C3A">
        <w:rPr>
          <w:sz w:val="12"/>
        </w:rPr>
        <w:t>Geen beïnvloeding van communicatie-apparatuur</w:t>
      </w:r>
    </w:p>
    <w:p w14:paraId="2675F2A2" w14:textId="3C5EB8F4" w:rsidR="008F61D1" w:rsidRPr="00E36C3A" w:rsidRDefault="008F61D1" w:rsidP="00E13D24">
      <w:pPr>
        <w:pStyle w:val="Inhopg3"/>
        <w:rPr>
          <w:rFonts w:eastAsiaTheme="minorEastAsia" w:cstheme="minorBidi"/>
          <w:sz w:val="14"/>
          <w:szCs w:val="22"/>
          <w:lang w:eastAsia="nl-BE"/>
        </w:rPr>
      </w:pPr>
      <w:r w:rsidRPr="00E36C3A">
        <w:rPr>
          <w:sz w:val="12"/>
        </w:rPr>
        <w:t>6.2.5.</w:t>
      </w:r>
      <w:r w:rsidRPr="00E36C3A">
        <w:rPr>
          <w:rFonts w:eastAsiaTheme="minorEastAsia" w:cstheme="minorBidi"/>
          <w:sz w:val="14"/>
          <w:szCs w:val="22"/>
          <w:lang w:eastAsia="nl-BE"/>
        </w:rPr>
        <w:tab/>
      </w:r>
      <w:r w:rsidRPr="00E36C3A">
        <w:rPr>
          <w:sz w:val="12"/>
        </w:rPr>
        <w:t>Aanwezigheid van een toegangshouder</w:t>
      </w:r>
    </w:p>
    <w:p w14:paraId="15EA0719" w14:textId="4E5D529D" w:rsidR="008F61D1" w:rsidRPr="00E36C3A" w:rsidRDefault="008F61D1" w:rsidP="008A2CEB">
      <w:pPr>
        <w:pStyle w:val="Inhopg2"/>
        <w:tabs>
          <w:tab w:val="left" w:pos="800"/>
          <w:tab w:val="right" w:leader="dot" w:pos="9016"/>
        </w:tabs>
        <w:autoSpaceDE/>
        <w:autoSpaceDN/>
        <w:adjustRightInd/>
        <w:spacing w:before="120" w:after="0"/>
        <w:rPr>
          <w:rStyle w:val="Hyperlink"/>
          <w:rFonts w:asciiTheme="minorHAnsi" w:eastAsiaTheme="minorHAnsi" w:hAnsiTheme="minorHAnsi" w:cstheme="minorHAnsi"/>
          <w:color w:val="000000" w:themeColor="text1"/>
          <w:sz w:val="14"/>
          <w:szCs w:val="22"/>
          <w:lang w:val="nl-BE"/>
          <w14:scene3d>
            <w14:camera w14:prst="orthographicFront"/>
            <w14:lightRig w14:rig="threePt" w14:dir="t">
              <w14:rot w14:lat="0" w14:lon="0" w14:rev="0"/>
            </w14:lightRig>
          </w14:scene3d>
        </w:rPr>
      </w:pPr>
      <w:r w:rsidRPr="00E36C3A">
        <w:rPr>
          <w:rFonts w:asciiTheme="minorHAnsi" w:eastAsiaTheme="minorHAnsi" w:hAnsiTheme="minorHAnsi" w:cstheme="minorHAnsi"/>
          <w:b/>
          <w:bCs/>
          <w:noProof/>
          <w:sz w:val="14"/>
          <w:szCs w:val="22"/>
          <w:lang w:val="nl-BE"/>
          <w14:scene3d>
            <w14:camera w14:prst="orthographicFront"/>
            <w14:lightRig w14:rig="threePt" w14:dir="t">
              <w14:rot w14:lat="0" w14:lon="0" w14:rev="0"/>
            </w14:lightRig>
          </w14:scene3d>
        </w:rPr>
        <w:t>6.3.</w:t>
      </w:r>
      <w:r w:rsidRPr="00E36C3A">
        <w:rPr>
          <w:rFonts w:asciiTheme="minorHAnsi" w:eastAsiaTheme="minorHAnsi" w:hAnsiTheme="minorHAnsi" w:cstheme="minorHAnsi"/>
          <w:b/>
          <w:bCs/>
          <w:sz w:val="14"/>
          <w:szCs w:val="22"/>
          <w:lang w:val="nl-BE"/>
          <w14:scene3d>
            <w14:camera w14:prst="orthographicFront"/>
            <w14:lightRig w14:rig="threePt" w14:dir="t">
              <w14:rot w14:lat="0" w14:lon="0" w14:rev="0"/>
            </w14:lightRig>
          </w14:scene3d>
        </w:rPr>
        <w:tab/>
      </w:r>
      <w:r w:rsidRPr="00E36C3A">
        <w:rPr>
          <w:rFonts w:asciiTheme="minorHAnsi" w:eastAsiaTheme="minorHAnsi" w:hAnsiTheme="minorHAnsi" w:cstheme="minorHAnsi"/>
          <w:b/>
          <w:bCs/>
          <w:noProof/>
          <w:sz w:val="14"/>
          <w:szCs w:val="22"/>
          <w:lang w:val="nl-BE"/>
          <w14:scene3d>
            <w14:camera w14:prst="orthographicFront"/>
            <w14:lightRig w14:rig="threePt" w14:dir="t">
              <w14:rot w14:lat="0" w14:lon="0" w14:rev="0"/>
            </w14:lightRig>
          </w14:scene3d>
        </w:rPr>
        <w:t>Wegname van een ongebruikte aansluiting</w:t>
      </w:r>
    </w:p>
    <w:p w14:paraId="4E1F002E" w14:textId="12DCEDED" w:rsidR="008F61D1" w:rsidRPr="00E36C3A" w:rsidRDefault="008F61D1" w:rsidP="00A8168C">
      <w:pPr>
        <w:pStyle w:val="Inhopg1"/>
        <w:rPr>
          <w:rStyle w:val="Hyperlink"/>
          <w:color w:val="000000" w:themeColor="text1"/>
          <w:sz w:val="16"/>
          <w:lang w:val="nl-BE"/>
        </w:rPr>
      </w:pPr>
      <w:r w:rsidRPr="00E36C3A">
        <w:rPr>
          <w:sz w:val="16"/>
          <w:lang w:val="nl-BE"/>
        </w:rPr>
        <w:t>Artikel 7</w:t>
      </w:r>
      <w:r w:rsidRPr="00E36C3A">
        <w:rPr>
          <w:sz w:val="16"/>
          <w:lang w:val="nl-BE"/>
        </w:rPr>
        <w:tab/>
        <w:t>Wijzigingen aan de Aansluiting of binneninstallatie met impact op het Distributienet</w:t>
      </w:r>
    </w:p>
    <w:p w14:paraId="1656C419" w14:textId="23DE6773" w:rsidR="008F61D1" w:rsidRPr="00E36C3A" w:rsidRDefault="008F61D1" w:rsidP="00A8168C">
      <w:pPr>
        <w:pStyle w:val="Inhopg1"/>
        <w:rPr>
          <w:rStyle w:val="Hyperlink"/>
          <w:color w:val="000000" w:themeColor="text1"/>
          <w:sz w:val="16"/>
          <w:lang w:val="nl-BE"/>
        </w:rPr>
      </w:pPr>
      <w:r w:rsidRPr="00E36C3A">
        <w:rPr>
          <w:sz w:val="16"/>
          <w:lang w:val="nl-BE"/>
        </w:rPr>
        <w:t>Artikel 8</w:t>
      </w:r>
      <w:r w:rsidRPr="00E36C3A">
        <w:rPr>
          <w:sz w:val="16"/>
          <w:lang w:val="nl-BE"/>
        </w:rPr>
        <w:tab/>
        <w:t>Bepalingen met betrekking tot de druk en kwaliteit van het gas, en de Aansluitingscapaciteit</w:t>
      </w:r>
    </w:p>
    <w:p w14:paraId="19ADAF54" w14:textId="45E43D49" w:rsidR="008F61D1" w:rsidRPr="00E36C3A" w:rsidRDefault="008F61D1" w:rsidP="008A2CEB">
      <w:pPr>
        <w:pStyle w:val="Inhopg2"/>
        <w:tabs>
          <w:tab w:val="left" w:pos="800"/>
          <w:tab w:val="right" w:leader="dot" w:pos="9016"/>
        </w:tabs>
        <w:autoSpaceDE/>
        <w:autoSpaceDN/>
        <w:adjustRightInd/>
        <w:spacing w:before="120" w:after="0"/>
        <w:rPr>
          <w:rStyle w:val="Hyperlink"/>
          <w:rFonts w:asciiTheme="minorHAnsi" w:eastAsiaTheme="minorHAnsi" w:hAnsiTheme="minorHAnsi" w:cstheme="minorHAnsi"/>
          <w:color w:val="000000" w:themeColor="text1"/>
          <w:sz w:val="14"/>
          <w:szCs w:val="22"/>
          <w:lang w:val="nl-BE"/>
          <w14:scene3d>
            <w14:camera w14:prst="orthographicFront"/>
            <w14:lightRig w14:rig="threePt" w14:dir="t">
              <w14:rot w14:lat="0" w14:lon="0" w14:rev="0"/>
            </w14:lightRig>
          </w14:scene3d>
        </w:rPr>
      </w:pPr>
      <w:r w:rsidRPr="00E36C3A">
        <w:rPr>
          <w:rFonts w:asciiTheme="minorHAnsi" w:eastAsiaTheme="minorHAnsi" w:hAnsiTheme="minorHAnsi" w:cstheme="minorHAnsi"/>
          <w:b/>
          <w:bCs/>
          <w:noProof/>
          <w:sz w:val="14"/>
          <w:szCs w:val="22"/>
          <w:lang w:val="nl-BE"/>
          <w14:scene3d>
            <w14:camera w14:prst="orthographicFront"/>
            <w14:lightRig w14:rig="threePt" w14:dir="t">
              <w14:rot w14:lat="0" w14:lon="0" w14:rev="0"/>
            </w14:lightRig>
          </w14:scene3d>
        </w:rPr>
        <w:t>8.1.</w:t>
      </w:r>
      <w:r w:rsidRPr="00E36C3A">
        <w:rPr>
          <w:rFonts w:asciiTheme="minorHAnsi" w:eastAsiaTheme="minorHAnsi" w:hAnsiTheme="minorHAnsi" w:cstheme="minorHAnsi"/>
          <w:b/>
          <w:bCs/>
          <w:sz w:val="14"/>
          <w:szCs w:val="22"/>
          <w:lang w:val="nl-BE"/>
          <w14:scene3d>
            <w14:camera w14:prst="orthographicFront"/>
            <w14:lightRig w14:rig="threePt" w14:dir="t">
              <w14:rot w14:lat="0" w14:lon="0" w14:rev="0"/>
            </w14:lightRig>
          </w14:scene3d>
        </w:rPr>
        <w:tab/>
      </w:r>
      <w:r w:rsidRPr="00E36C3A">
        <w:rPr>
          <w:rFonts w:asciiTheme="minorHAnsi" w:eastAsiaTheme="minorHAnsi" w:hAnsiTheme="minorHAnsi" w:cstheme="minorHAnsi"/>
          <w:b/>
          <w:bCs/>
          <w:noProof/>
          <w:sz w:val="14"/>
          <w:szCs w:val="22"/>
          <w:lang w:val="nl-BE"/>
          <w14:scene3d>
            <w14:camera w14:prst="orthographicFront"/>
            <w14:lightRig w14:rig="threePt" w14:dir="t">
              <w14:rot w14:lat="0" w14:lon="0" w14:rev="0"/>
            </w14:lightRig>
          </w14:scene3d>
        </w:rPr>
        <w:t>Drukniveau</w:t>
      </w:r>
    </w:p>
    <w:p w14:paraId="372BDE7E" w14:textId="13B0FD33" w:rsidR="008F61D1" w:rsidRPr="00E36C3A" w:rsidRDefault="008F61D1" w:rsidP="00E13D24">
      <w:pPr>
        <w:pStyle w:val="Inhopg3"/>
        <w:rPr>
          <w:rFonts w:eastAsiaTheme="minorEastAsia" w:cstheme="minorBidi"/>
          <w:sz w:val="14"/>
          <w:szCs w:val="22"/>
          <w:lang w:eastAsia="nl-BE"/>
        </w:rPr>
      </w:pPr>
      <w:r w:rsidRPr="00E36C3A">
        <w:rPr>
          <w:sz w:val="12"/>
          <w:lang w:eastAsia="nl-BE"/>
        </w:rPr>
        <w:t>8.1.1.</w:t>
      </w:r>
      <w:r w:rsidRPr="00E36C3A">
        <w:rPr>
          <w:rFonts w:eastAsiaTheme="minorEastAsia" w:cstheme="minorBidi"/>
          <w:sz w:val="14"/>
          <w:szCs w:val="22"/>
          <w:lang w:eastAsia="nl-BE"/>
        </w:rPr>
        <w:tab/>
      </w:r>
      <w:r w:rsidRPr="00E36C3A">
        <w:rPr>
          <w:sz w:val="12"/>
          <w:lang w:eastAsia="nl-BE"/>
        </w:rPr>
        <w:t>Variaties op de geleverde gasdruk</w:t>
      </w:r>
    </w:p>
    <w:p w14:paraId="29034B5C" w14:textId="7A19AD3D" w:rsidR="008F61D1" w:rsidRPr="00E36C3A" w:rsidRDefault="008F61D1" w:rsidP="00E13D24">
      <w:pPr>
        <w:pStyle w:val="Inhopg3"/>
        <w:rPr>
          <w:rFonts w:eastAsiaTheme="minorEastAsia" w:cstheme="minorBidi"/>
          <w:sz w:val="14"/>
          <w:szCs w:val="22"/>
          <w:lang w:eastAsia="nl-BE"/>
        </w:rPr>
      </w:pPr>
      <w:r w:rsidRPr="00E36C3A">
        <w:rPr>
          <w:sz w:val="12"/>
        </w:rPr>
        <w:t>8.1.2.</w:t>
      </w:r>
      <w:r w:rsidRPr="00E36C3A">
        <w:rPr>
          <w:rFonts w:eastAsiaTheme="minorEastAsia" w:cstheme="minorBidi"/>
          <w:sz w:val="14"/>
          <w:szCs w:val="22"/>
          <w:lang w:eastAsia="nl-BE"/>
        </w:rPr>
        <w:tab/>
      </w:r>
      <w:r w:rsidRPr="00E36C3A">
        <w:rPr>
          <w:sz w:val="12"/>
        </w:rPr>
        <w:t>Meting door de DNB ter controle van de leveringsdruk op vraag van de DNG</w:t>
      </w:r>
    </w:p>
    <w:p w14:paraId="7E6EDC1D" w14:textId="21A8A162" w:rsidR="008F61D1" w:rsidRPr="00E36C3A" w:rsidRDefault="008F61D1" w:rsidP="008A2CEB">
      <w:pPr>
        <w:pStyle w:val="Inhopg2"/>
        <w:tabs>
          <w:tab w:val="left" w:pos="800"/>
          <w:tab w:val="right" w:leader="dot" w:pos="9016"/>
        </w:tabs>
        <w:autoSpaceDE/>
        <w:autoSpaceDN/>
        <w:adjustRightInd/>
        <w:spacing w:before="120" w:after="0"/>
        <w:rPr>
          <w:rStyle w:val="Hyperlink"/>
          <w:rFonts w:asciiTheme="minorHAnsi" w:eastAsiaTheme="minorHAnsi" w:hAnsiTheme="minorHAnsi" w:cstheme="minorHAnsi"/>
          <w:color w:val="000000" w:themeColor="text1"/>
          <w:sz w:val="14"/>
          <w:szCs w:val="22"/>
          <w:lang w:val="nl-BE"/>
          <w14:scene3d>
            <w14:camera w14:prst="orthographicFront"/>
            <w14:lightRig w14:rig="threePt" w14:dir="t">
              <w14:rot w14:lat="0" w14:lon="0" w14:rev="0"/>
            </w14:lightRig>
          </w14:scene3d>
        </w:rPr>
      </w:pPr>
      <w:r w:rsidRPr="00E36C3A">
        <w:rPr>
          <w:rFonts w:asciiTheme="minorHAnsi" w:eastAsiaTheme="minorHAnsi" w:hAnsiTheme="minorHAnsi" w:cstheme="minorHAnsi"/>
          <w:b/>
          <w:bCs/>
          <w:noProof/>
          <w:sz w:val="14"/>
          <w:szCs w:val="22"/>
          <w:lang w:val="nl-BE"/>
          <w14:scene3d>
            <w14:camera w14:prst="orthographicFront"/>
            <w14:lightRig w14:rig="threePt" w14:dir="t">
              <w14:rot w14:lat="0" w14:lon="0" w14:rev="0"/>
            </w14:lightRig>
          </w14:scene3d>
        </w:rPr>
        <w:t>8.2.</w:t>
      </w:r>
      <w:r w:rsidRPr="00E36C3A">
        <w:rPr>
          <w:rFonts w:asciiTheme="minorHAnsi" w:eastAsiaTheme="minorHAnsi" w:hAnsiTheme="minorHAnsi" w:cstheme="minorHAnsi"/>
          <w:b/>
          <w:bCs/>
          <w:sz w:val="14"/>
          <w:szCs w:val="22"/>
          <w:lang w:val="nl-BE"/>
          <w14:scene3d>
            <w14:camera w14:prst="orthographicFront"/>
            <w14:lightRig w14:rig="threePt" w14:dir="t">
              <w14:rot w14:lat="0" w14:lon="0" w14:rev="0"/>
            </w14:lightRig>
          </w14:scene3d>
        </w:rPr>
        <w:tab/>
      </w:r>
      <w:r w:rsidRPr="00E36C3A">
        <w:rPr>
          <w:rFonts w:asciiTheme="minorHAnsi" w:eastAsiaTheme="minorHAnsi" w:hAnsiTheme="minorHAnsi" w:cstheme="minorHAnsi"/>
          <w:b/>
          <w:bCs/>
          <w:noProof/>
          <w:sz w:val="14"/>
          <w:szCs w:val="22"/>
          <w:lang w:val="nl-BE"/>
          <w14:scene3d>
            <w14:camera w14:prst="orthographicFront"/>
            <w14:lightRig w14:rig="threePt" w14:dir="t">
              <w14:rot w14:lat="0" w14:lon="0" w14:rev="0"/>
            </w14:lightRig>
          </w14:scene3d>
        </w:rPr>
        <w:t>Gaskwaliteit</w:t>
      </w:r>
    </w:p>
    <w:p w14:paraId="7DFF409D" w14:textId="081313AD" w:rsidR="008F61D1" w:rsidRPr="00E36C3A" w:rsidRDefault="008F61D1" w:rsidP="008A2CEB">
      <w:pPr>
        <w:pStyle w:val="Inhopg2"/>
        <w:tabs>
          <w:tab w:val="left" w:pos="800"/>
          <w:tab w:val="right" w:leader="dot" w:pos="9016"/>
        </w:tabs>
        <w:autoSpaceDE/>
        <w:autoSpaceDN/>
        <w:adjustRightInd/>
        <w:spacing w:before="120" w:after="0"/>
        <w:rPr>
          <w:rStyle w:val="Hyperlink"/>
          <w:rFonts w:asciiTheme="minorHAnsi" w:eastAsiaTheme="minorHAnsi" w:hAnsiTheme="minorHAnsi" w:cstheme="minorHAnsi"/>
          <w:color w:val="000000" w:themeColor="text1"/>
          <w:sz w:val="14"/>
          <w:szCs w:val="22"/>
          <w:lang w:val="nl-BE"/>
          <w14:scene3d>
            <w14:camera w14:prst="orthographicFront"/>
            <w14:lightRig w14:rig="threePt" w14:dir="t">
              <w14:rot w14:lat="0" w14:lon="0" w14:rev="0"/>
            </w14:lightRig>
          </w14:scene3d>
        </w:rPr>
      </w:pPr>
      <w:r w:rsidRPr="00E36C3A">
        <w:rPr>
          <w:rFonts w:asciiTheme="minorHAnsi" w:eastAsiaTheme="minorHAnsi" w:hAnsiTheme="minorHAnsi" w:cstheme="minorHAnsi"/>
          <w:b/>
          <w:bCs/>
          <w:noProof/>
          <w:sz w:val="14"/>
          <w:szCs w:val="22"/>
          <w:lang w:val="nl-BE"/>
          <w14:scene3d>
            <w14:camera w14:prst="orthographicFront"/>
            <w14:lightRig w14:rig="threePt" w14:dir="t">
              <w14:rot w14:lat="0" w14:lon="0" w14:rev="0"/>
            </w14:lightRig>
          </w14:scene3d>
        </w:rPr>
        <w:t>8.3.</w:t>
      </w:r>
      <w:r w:rsidRPr="00E36C3A">
        <w:rPr>
          <w:rFonts w:asciiTheme="minorHAnsi" w:eastAsiaTheme="minorHAnsi" w:hAnsiTheme="minorHAnsi" w:cstheme="minorHAnsi"/>
          <w:b/>
          <w:bCs/>
          <w:sz w:val="14"/>
          <w:szCs w:val="22"/>
          <w:lang w:val="nl-BE"/>
          <w14:scene3d>
            <w14:camera w14:prst="orthographicFront"/>
            <w14:lightRig w14:rig="threePt" w14:dir="t">
              <w14:rot w14:lat="0" w14:lon="0" w14:rev="0"/>
            </w14:lightRig>
          </w14:scene3d>
        </w:rPr>
        <w:tab/>
      </w:r>
      <w:r w:rsidRPr="00E36C3A">
        <w:rPr>
          <w:rFonts w:asciiTheme="minorHAnsi" w:eastAsiaTheme="minorHAnsi" w:hAnsiTheme="minorHAnsi" w:cstheme="minorHAnsi"/>
          <w:b/>
          <w:bCs/>
          <w:noProof/>
          <w:sz w:val="14"/>
          <w:szCs w:val="22"/>
          <w:lang w:val="nl-BE"/>
          <w14:scene3d>
            <w14:camera w14:prst="orthographicFront"/>
            <w14:lightRig w14:rig="threePt" w14:dir="t">
              <w14:rot w14:lat="0" w14:lon="0" w14:rev="0"/>
            </w14:lightRig>
          </w14:scene3d>
        </w:rPr>
        <w:t>Minimale, maximale en onderbreekbare Aansluitingscapaciteit</w:t>
      </w:r>
    </w:p>
    <w:p w14:paraId="445EBF72" w14:textId="059339AA" w:rsidR="008F61D1" w:rsidRPr="00E36C3A" w:rsidRDefault="008F61D1" w:rsidP="00E13D24">
      <w:pPr>
        <w:pStyle w:val="Inhopg3"/>
        <w:rPr>
          <w:rFonts w:eastAsiaTheme="minorEastAsia" w:cstheme="minorBidi"/>
          <w:sz w:val="14"/>
          <w:szCs w:val="22"/>
          <w:lang w:eastAsia="nl-BE"/>
        </w:rPr>
      </w:pPr>
      <w:r w:rsidRPr="00E36C3A">
        <w:rPr>
          <w:sz w:val="12"/>
        </w:rPr>
        <w:t>8.3.1.</w:t>
      </w:r>
      <w:r w:rsidRPr="00E36C3A">
        <w:rPr>
          <w:rFonts w:eastAsiaTheme="minorEastAsia" w:cstheme="minorBidi"/>
          <w:sz w:val="14"/>
          <w:szCs w:val="22"/>
          <w:lang w:eastAsia="nl-BE"/>
        </w:rPr>
        <w:tab/>
      </w:r>
      <w:r w:rsidRPr="00E36C3A">
        <w:rPr>
          <w:sz w:val="12"/>
        </w:rPr>
        <w:t>Minimale en maximale Aansluitingscapaciteit</w:t>
      </w:r>
    </w:p>
    <w:p w14:paraId="01E34E5C" w14:textId="7F499DF9" w:rsidR="008F61D1" w:rsidRPr="00E36C3A" w:rsidRDefault="008F61D1" w:rsidP="00E13D24">
      <w:pPr>
        <w:pStyle w:val="Inhopg3"/>
        <w:rPr>
          <w:rFonts w:eastAsiaTheme="minorEastAsia" w:cstheme="minorBidi"/>
          <w:sz w:val="14"/>
          <w:szCs w:val="22"/>
          <w:lang w:eastAsia="nl-BE"/>
        </w:rPr>
      </w:pPr>
      <w:r w:rsidRPr="00E36C3A">
        <w:rPr>
          <w:sz w:val="12"/>
        </w:rPr>
        <w:t>8.3.2.</w:t>
      </w:r>
      <w:r w:rsidRPr="00E36C3A">
        <w:rPr>
          <w:rFonts w:eastAsiaTheme="minorEastAsia" w:cstheme="minorBidi"/>
          <w:sz w:val="14"/>
          <w:szCs w:val="22"/>
          <w:lang w:eastAsia="nl-BE"/>
        </w:rPr>
        <w:tab/>
      </w:r>
      <w:r w:rsidRPr="00E36C3A">
        <w:rPr>
          <w:sz w:val="12"/>
        </w:rPr>
        <w:t>Onderbreekbaarheid van de gaslevering</w:t>
      </w:r>
    </w:p>
    <w:p w14:paraId="0841E004" w14:textId="29F6DC2D" w:rsidR="008F61D1" w:rsidRPr="00E36C3A" w:rsidRDefault="008F61D1" w:rsidP="00A8168C">
      <w:pPr>
        <w:pStyle w:val="Inhopg1"/>
        <w:rPr>
          <w:rStyle w:val="Hyperlink"/>
          <w:color w:val="000000" w:themeColor="text1"/>
          <w:sz w:val="16"/>
          <w:lang w:val="nl-BE"/>
        </w:rPr>
      </w:pPr>
      <w:r w:rsidRPr="00E36C3A">
        <w:rPr>
          <w:sz w:val="16"/>
          <w:lang w:val="nl-BE"/>
        </w:rPr>
        <w:t>Artikel 9</w:t>
      </w:r>
      <w:r w:rsidRPr="00E36C3A">
        <w:rPr>
          <w:sz w:val="16"/>
          <w:lang w:val="nl-BE"/>
        </w:rPr>
        <w:tab/>
        <w:t>Onvoorziene omstandigheden</w:t>
      </w:r>
    </w:p>
    <w:p w14:paraId="623B9C98" w14:textId="3BBEC105" w:rsidR="008F61D1" w:rsidRPr="00E36C3A" w:rsidRDefault="008F61D1" w:rsidP="00A8168C">
      <w:pPr>
        <w:pStyle w:val="Inhopg1"/>
        <w:rPr>
          <w:rStyle w:val="Hyperlink"/>
          <w:color w:val="000000" w:themeColor="text1"/>
          <w:sz w:val="16"/>
          <w:lang w:val="nl-BE"/>
        </w:rPr>
      </w:pPr>
      <w:r w:rsidRPr="00E36C3A">
        <w:rPr>
          <w:sz w:val="16"/>
          <w:lang w:val="nl-BE"/>
        </w:rPr>
        <w:t>Artikel 10</w:t>
      </w:r>
      <w:r w:rsidRPr="00E36C3A">
        <w:rPr>
          <w:sz w:val="16"/>
          <w:lang w:val="nl-BE"/>
        </w:rPr>
        <w:tab/>
        <w:t>Algemene regeling inzake aansprakelijkheid van de DNB</w:t>
      </w:r>
    </w:p>
    <w:p w14:paraId="23F36B52" w14:textId="3339987D" w:rsidR="008F61D1" w:rsidRPr="00E36C3A" w:rsidRDefault="008F61D1" w:rsidP="008A2CEB">
      <w:pPr>
        <w:pStyle w:val="Inhopg2"/>
        <w:tabs>
          <w:tab w:val="left" w:pos="800"/>
          <w:tab w:val="right" w:leader="dot" w:pos="9016"/>
        </w:tabs>
        <w:autoSpaceDE/>
        <w:autoSpaceDN/>
        <w:adjustRightInd/>
        <w:spacing w:before="120" w:after="0"/>
        <w:rPr>
          <w:rStyle w:val="Hyperlink"/>
          <w:rFonts w:asciiTheme="minorHAnsi" w:eastAsiaTheme="minorHAnsi" w:hAnsiTheme="minorHAnsi" w:cstheme="minorHAnsi"/>
          <w:color w:val="000000" w:themeColor="text1"/>
          <w:sz w:val="14"/>
          <w:szCs w:val="22"/>
          <w:lang w:val="nl-BE"/>
          <w14:scene3d>
            <w14:camera w14:prst="orthographicFront"/>
            <w14:lightRig w14:rig="threePt" w14:dir="t">
              <w14:rot w14:lat="0" w14:lon="0" w14:rev="0"/>
            </w14:lightRig>
          </w14:scene3d>
        </w:rPr>
      </w:pPr>
      <w:r w:rsidRPr="00E36C3A">
        <w:rPr>
          <w:rFonts w:asciiTheme="minorHAnsi" w:eastAsiaTheme="minorHAnsi" w:hAnsiTheme="minorHAnsi" w:cstheme="minorHAnsi"/>
          <w:b/>
          <w:bCs/>
          <w:noProof/>
          <w:sz w:val="14"/>
          <w:szCs w:val="22"/>
          <w:lang w:val="nl-BE"/>
          <w14:scene3d>
            <w14:camera w14:prst="orthographicFront"/>
            <w14:lightRig w14:rig="threePt" w14:dir="t">
              <w14:rot w14:lat="0" w14:lon="0" w14:rev="0"/>
            </w14:lightRig>
          </w14:scene3d>
        </w:rPr>
        <w:t>10.1.</w:t>
      </w:r>
      <w:r w:rsidRPr="00E36C3A">
        <w:rPr>
          <w:rFonts w:asciiTheme="minorHAnsi" w:eastAsiaTheme="minorHAnsi" w:hAnsiTheme="minorHAnsi" w:cstheme="minorHAnsi"/>
          <w:b/>
          <w:bCs/>
          <w:sz w:val="14"/>
          <w:szCs w:val="22"/>
          <w:lang w:val="nl-BE"/>
          <w14:scene3d>
            <w14:camera w14:prst="orthographicFront"/>
            <w14:lightRig w14:rig="threePt" w14:dir="t">
              <w14:rot w14:lat="0" w14:lon="0" w14:rev="0"/>
            </w14:lightRig>
          </w14:scene3d>
        </w:rPr>
        <w:tab/>
      </w:r>
      <w:r w:rsidRPr="00E36C3A">
        <w:rPr>
          <w:rFonts w:asciiTheme="minorHAnsi" w:eastAsiaTheme="minorHAnsi" w:hAnsiTheme="minorHAnsi" w:cstheme="minorHAnsi"/>
          <w:b/>
          <w:bCs/>
          <w:noProof/>
          <w:sz w:val="14"/>
          <w:szCs w:val="22"/>
          <w:lang w:val="nl-BE"/>
          <w14:scene3d>
            <w14:camera w14:prst="orthographicFront"/>
            <w14:lightRig w14:rig="threePt" w14:dir="t">
              <w14:rot w14:lat="0" w14:lon="0" w14:rev="0"/>
            </w14:lightRig>
          </w14:scene3d>
        </w:rPr>
        <w:t>Algemeen</w:t>
      </w:r>
    </w:p>
    <w:p w14:paraId="4C68F9DC" w14:textId="7801BB5E" w:rsidR="008F61D1" w:rsidRPr="00E36C3A" w:rsidRDefault="008F61D1" w:rsidP="008A2CEB">
      <w:pPr>
        <w:pStyle w:val="Inhopg2"/>
        <w:tabs>
          <w:tab w:val="left" w:pos="800"/>
          <w:tab w:val="right" w:leader="dot" w:pos="9016"/>
        </w:tabs>
        <w:autoSpaceDE/>
        <w:autoSpaceDN/>
        <w:adjustRightInd/>
        <w:spacing w:before="120" w:after="0"/>
        <w:rPr>
          <w:rStyle w:val="Hyperlink"/>
          <w:rFonts w:asciiTheme="minorHAnsi" w:eastAsiaTheme="minorHAnsi" w:hAnsiTheme="minorHAnsi" w:cstheme="minorHAnsi"/>
          <w:color w:val="000000" w:themeColor="text1"/>
          <w:sz w:val="14"/>
          <w:szCs w:val="22"/>
          <w:lang w:val="nl-BE"/>
          <w14:scene3d>
            <w14:camera w14:prst="orthographicFront"/>
            <w14:lightRig w14:rig="threePt" w14:dir="t">
              <w14:rot w14:lat="0" w14:lon="0" w14:rev="0"/>
            </w14:lightRig>
          </w14:scene3d>
        </w:rPr>
      </w:pPr>
      <w:r w:rsidRPr="00E36C3A">
        <w:rPr>
          <w:rFonts w:asciiTheme="minorHAnsi" w:eastAsiaTheme="minorHAnsi" w:hAnsiTheme="minorHAnsi" w:cstheme="minorHAnsi"/>
          <w:b/>
          <w:bCs/>
          <w:noProof/>
          <w:sz w:val="14"/>
          <w:szCs w:val="22"/>
          <w:lang w:val="nl-BE"/>
          <w14:scene3d>
            <w14:camera w14:prst="orthographicFront"/>
            <w14:lightRig w14:rig="threePt" w14:dir="t">
              <w14:rot w14:lat="0" w14:lon="0" w14:rev="0"/>
            </w14:lightRig>
          </w14:scene3d>
        </w:rPr>
        <w:t>10.2.</w:t>
      </w:r>
      <w:r w:rsidRPr="00E36C3A">
        <w:rPr>
          <w:rFonts w:asciiTheme="minorHAnsi" w:eastAsiaTheme="minorHAnsi" w:hAnsiTheme="minorHAnsi" w:cstheme="minorHAnsi"/>
          <w:b/>
          <w:bCs/>
          <w:sz w:val="14"/>
          <w:szCs w:val="22"/>
          <w:lang w:val="nl-BE"/>
          <w14:scene3d>
            <w14:camera w14:prst="orthographicFront"/>
            <w14:lightRig w14:rig="threePt" w14:dir="t">
              <w14:rot w14:lat="0" w14:lon="0" w14:rev="0"/>
            </w14:lightRig>
          </w14:scene3d>
        </w:rPr>
        <w:tab/>
      </w:r>
      <w:r w:rsidRPr="00E36C3A">
        <w:rPr>
          <w:rFonts w:asciiTheme="minorHAnsi" w:eastAsiaTheme="minorHAnsi" w:hAnsiTheme="minorHAnsi" w:cstheme="minorHAnsi"/>
          <w:b/>
          <w:bCs/>
          <w:noProof/>
          <w:sz w:val="14"/>
          <w:szCs w:val="22"/>
          <w:lang w:val="nl-BE"/>
          <w14:scene3d>
            <w14:camera w14:prst="orthographicFront"/>
            <w14:lightRig w14:rig="threePt" w14:dir="t">
              <w14:rot w14:lat="0" w14:lon="0" w14:rev="0"/>
            </w14:lightRig>
          </w14:scene3d>
        </w:rPr>
        <w:t>Onderbrekingen van de gastoevoer en variaties van de druk: foutaansprakelijkheid:</w:t>
      </w:r>
    </w:p>
    <w:p w14:paraId="72465B4A" w14:textId="2ECEDA13" w:rsidR="008F61D1" w:rsidRPr="00E36C3A" w:rsidRDefault="008F61D1" w:rsidP="00E13D24">
      <w:pPr>
        <w:pStyle w:val="Inhopg4"/>
        <w:rPr>
          <w:rStyle w:val="Hyperlink"/>
          <w:color w:val="000000" w:themeColor="text1"/>
          <w:sz w:val="12"/>
        </w:rPr>
      </w:pPr>
      <w:r w:rsidRPr="00E36C3A">
        <w:rPr>
          <w:sz w:val="12"/>
        </w:rPr>
        <w:t>a)</w:t>
      </w:r>
      <w:r w:rsidRPr="00E36C3A">
        <w:rPr>
          <w:sz w:val="12"/>
        </w:rPr>
        <w:tab/>
        <w:t>Lichamelijke schade en / of overlijden</w:t>
      </w:r>
    </w:p>
    <w:p w14:paraId="10291514" w14:textId="3EF109CD" w:rsidR="008F61D1" w:rsidRPr="00E36C3A" w:rsidRDefault="008F61D1" w:rsidP="00E13D24">
      <w:pPr>
        <w:pStyle w:val="Inhopg4"/>
        <w:rPr>
          <w:rFonts w:eastAsiaTheme="minorEastAsia" w:cstheme="minorBidi"/>
          <w:sz w:val="14"/>
          <w:szCs w:val="22"/>
          <w:lang w:eastAsia="nl-BE"/>
        </w:rPr>
      </w:pPr>
      <w:r w:rsidRPr="00E36C3A">
        <w:rPr>
          <w:sz w:val="12"/>
        </w:rPr>
        <w:t>b)</w:t>
      </w:r>
      <w:r w:rsidRPr="00E36C3A">
        <w:rPr>
          <w:rFonts w:eastAsiaTheme="minorEastAsia" w:cstheme="minorBidi"/>
          <w:sz w:val="14"/>
          <w:szCs w:val="22"/>
          <w:lang w:eastAsia="nl-BE"/>
        </w:rPr>
        <w:tab/>
      </w:r>
      <w:r w:rsidRPr="00E36C3A">
        <w:rPr>
          <w:sz w:val="12"/>
        </w:rPr>
        <w:t>Rechtstreekse materiële schade – forfaitaire berekening</w:t>
      </w:r>
    </w:p>
    <w:p w14:paraId="131A6906" w14:textId="54DB6BC4" w:rsidR="008F61D1" w:rsidRPr="00E36C3A" w:rsidRDefault="008F61D1" w:rsidP="00E13D24">
      <w:pPr>
        <w:pStyle w:val="Inhopg4"/>
        <w:rPr>
          <w:rFonts w:eastAsiaTheme="minorEastAsia" w:cstheme="minorBidi"/>
          <w:sz w:val="14"/>
          <w:szCs w:val="22"/>
          <w:lang w:eastAsia="nl-BE"/>
        </w:rPr>
      </w:pPr>
      <w:r w:rsidRPr="00E36C3A">
        <w:rPr>
          <w:sz w:val="12"/>
        </w:rPr>
        <w:t>c)</w:t>
      </w:r>
      <w:r w:rsidRPr="00E36C3A">
        <w:rPr>
          <w:rFonts w:eastAsiaTheme="minorEastAsia" w:cstheme="minorBidi"/>
          <w:sz w:val="14"/>
          <w:szCs w:val="22"/>
          <w:lang w:eastAsia="nl-BE"/>
        </w:rPr>
        <w:tab/>
      </w:r>
      <w:r w:rsidRPr="00E36C3A">
        <w:rPr>
          <w:sz w:val="12"/>
        </w:rPr>
        <w:t>Andere schade - exoneratie</w:t>
      </w:r>
    </w:p>
    <w:p w14:paraId="773BCCF7" w14:textId="3F88171E" w:rsidR="008F61D1" w:rsidRPr="00E36C3A" w:rsidRDefault="008F61D1" w:rsidP="00E13D24">
      <w:pPr>
        <w:pStyle w:val="Inhopg4"/>
        <w:rPr>
          <w:rFonts w:eastAsiaTheme="minorEastAsia" w:cstheme="minorBidi"/>
          <w:sz w:val="14"/>
          <w:szCs w:val="22"/>
          <w:lang w:eastAsia="nl-BE"/>
        </w:rPr>
      </w:pPr>
      <w:r w:rsidRPr="00E36C3A">
        <w:rPr>
          <w:sz w:val="12"/>
        </w:rPr>
        <w:t>d)</w:t>
      </w:r>
      <w:r w:rsidRPr="00E36C3A">
        <w:rPr>
          <w:rFonts w:eastAsiaTheme="minorEastAsia" w:cstheme="minorBidi"/>
          <w:sz w:val="14"/>
          <w:szCs w:val="22"/>
          <w:lang w:eastAsia="nl-BE"/>
        </w:rPr>
        <w:tab/>
      </w:r>
      <w:r w:rsidRPr="00E36C3A">
        <w:rPr>
          <w:sz w:val="12"/>
        </w:rPr>
        <w:t>Plafond vergoedingen</w:t>
      </w:r>
    </w:p>
    <w:p w14:paraId="4C330C00" w14:textId="614EAB4B" w:rsidR="008F61D1" w:rsidRPr="00E36C3A" w:rsidRDefault="008F61D1" w:rsidP="008A2CEB">
      <w:pPr>
        <w:pStyle w:val="Inhopg2"/>
        <w:tabs>
          <w:tab w:val="left" w:pos="800"/>
          <w:tab w:val="right" w:leader="dot" w:pos="9016"/>
        </w:tabs>
        <w:autoSpaceDE/>
        <w:autoSpaceDN/>
        <w:adjustRightInd/>
        <w:spacing w:before="120" w:after="0"/>
        <w:rPr>
          <w:rStyle w:val="Hyperlink"/>
          <w:rFonts w:asciiTheme="minorHAnsi" w:eastAsiaTheme="minorHAnsi" w:hAnsiTheme="minorHAnsi" w:cstheme="minorHAnsi"/>
          <w:color w:val="000000" w:themeColor="text1"/>
          <w:sz w:val="14"/>
          <w:szCs w:val="22"/>
          <w:lang w:val="nl-BE"/>
          <w14:scene3d>
            <w14:camera w14:prst="orthographicFront"/>
            <w14:lightRig w14:rig="threePt" w14:dir="t">
              <w14:rot w14:lat="0" w14:lon="0" w14:rev="0"/>
            </w14:lightRig>
          </w14:scene3d>
        </w:rPr>
      </w:pPr>
      <w:r w:rsidRPr="00E36C3A">
        <w:rPr>
          <w:rFonts w:asciiTheme="minorHAnsi" w:eastAsiaTheme="minorHAnsi" w:hAnsiTheme="minorHAnsi" w:cstheme="minorHAnsi"/>
          <w:b/>
          <w:bCs/>
          <w:noProof/>
          <w:sz w:val="14"/>
          <w:szCs w:val="22"/>
          <w:lang w:val="nl-BE"/>
          <w14:scene3d>
            <w14:camera w14:prst="orthographicFront"/>
            <w14:lightRig w14:rig="threePt" w14:dir="t">
              <w14:rot w14:lat="0" w14:lon="0" w14:rev="0"/>
            </w14:lightRig>
          </w14:scene3d>
        </w:rPr>
        <w:t>10.3.</w:t>
      </w:r>
      <w:r w:rsidRPr="00E36C3A">
        <w:rPr>
          <w:rFonts w:asciiTheme="minorHAnsi" w:eastAsiaTheme="minorHAnsi" w:hAnsiTheme="minorHAnsi" w:cstheme="minorHAnsi"/>
          <w:b/>
          <w:bCs/>
          <w:sz w:val="14"/>
          <w:szCs w:val="22"/>
          <w:lang w:val="nl-BE"/>
          <w14:scene3d>
            <w14:camera w14:prst="orthographicFront"/>
            <w14:lightRig w14:rig="threePt" w14:dir="t">
              <w14:rot w14:lat="0" w14:lon="0" w14:rev="0"/>
            </w14:lightRig>
          </w14:scene3d>
        </w:rPr>
        <w:tab/>
      </w:r>
      <w:r w:rsidRPr="00E36C3A">
        <w:rPr>
          <w:rFonts w:asciiTheme="minorHAnsi" w:eastAsiaTheme="minorHAnsi" w:hAnsiTheme="minorHAnsi" w:cstheme="minorHAnsi"/>
          <w:b/>
          <w:bCs/>
          <w:noProof/>
          <w:sz w:val="14"/>
          <w:szCs w:val="22"/>
          <w:lang w:val="nl-BE"/>
          <w14:scene3d>
            <w14:camera w14:prst="orthographicFront"/>
            <w14:lightRig w14:rig="threePt" w14:dir="t">
              <w14:rot w14:lat="0" w14:lon="0" w14:rev="0"/>
            </w14:lightRig>
          </w14:scene3d>
        </w:rPr>
        <w:t>Laattijdige aansluiting en heraansluiting</w:t>
      </w:r>
    </w:p>
    <w:p w14:paraId="5D6047F8" w14:textId="1BB5E3DA" w:rsidR="008F61D1" w:rsidRPr="00E36C3A" w:rsidRDefault="008F61D1" w:rsidP="00E13D24">
      <w:pPr>
        <w:pStyle w:val="Inhopg3"/>
        <w:rPr>
          <w:rFonts w:eastAsiaTheme="minorEastAsia" w:cstheme="minorBidi"/>
          <w:sz w:val="14"/>
          <w:szCs w:val="22"/>
          <w:lang w:eastAsia="nl-BE"/>
        </w:rPr>
      </w:pPr>
      <w:r w:rsidRPr="00E36C3A">
        <w:rPr>
          <w:sz w:val="12"/>
        </w:rPr>
        <w:t>10.3.1.</w:t>
      </w:r>
      <w:r w:rsidRPr="00E36C3A">
        <w:rPr>
          <w:rFonts w:eastAsiaTheme="minorEastAsia" w:cstheme="minorBidi"/>
          <w:sz w:val="14"/>
          <w:szCs w:val="22"/>
          <w:lang w:eastAsia="nl-BE"/>
        </w:rPr>
        <w:tab/>
      </w:r>
      <w:r w:rsidRPr="00E36C3A">
        <w:rPr>
          <w:sz w:val="12"/>
        </w:rPr>
        <w:t>Foutaansprakelijkheid</w:t>
      </w:r>
    </w:p>
    <w:p w14:paraId="51B5EB7B" w14:textId="15FF7EF4" w:rsidR="008F61D1" w:rsidRPr="00E36C3A" w:rsidRDefault="008F61D1" w:rsidP="00E13D24">
      <w:pPr>
        <w:pStyle w:val="Inhopg4"/>
        <w:rPr>
          <w:rFonts w:eastAsiaTheme="minorEastAsia" w:cstheme="minorBidi"/>
          <w:sz w:val="14"/>
          <w:szCs w:val="22"/>
          <w:lang w:eastAsia="nl-BE"/>
        </w:rPr>
      </w:pPr>
      <w:r w:rsidRPr="00E36C3A">
        <w:rPr>
          <w:sz w:val="12"/>
        </w:rPr>
        <w:t>a)</w:t>
      </w:r>
      <w:r w:rsidRPr="00E36C3A">
        <w:rPr>
          <w:rFonts w:eastAsiaTheme="minorEastAsia" w:cstheme="minorBidi"/>
          <w:sz w:val="14"/>
          <w:szCs w:val="22"/>
          <w:lang w:eastAsia="nl-BE"/>
        </w:rPr>
        <w:tab/>
      </w:r>
      <w:r w:rsidRPr="00E36C3A">
        <w:rPr>
          <w:sz w:val="12"/>
        </w:rPr>
        <w:t>Lichamelijke schade en / of overlijden</w:t>
      </w:r>
    </w:p>
    <w:p w14:paraId="4B17A739" w14:textId="511571BE" w:rsidR="008F61D1" w:rsidRPr="00E36C3A" w:rsidRDefault="008F61D1" w:rsidP="00E13D24">
      <w:pPr>
        <w:pStyle w:val="Inhopg4"/>
        <w:rPr>
          <w:rFonts w:eastAsiaTheme="minorEastAsia" w:cstheme="minorBidi"/>
          <w:sz w:val="14"/>
          <w:szCs w:val="22"/>
          <w:lang w:eastAsia="nl-BE"/>
        </w:rPr>
      </w:pPr>
      <w:r w:rsidRPr="00E36C3A">
        <w:rPr>
          <w:sz w:val="12"/>
        </w:rPr>
        <w:t>b)</w:t>
      </w:r>
      <w:r w:rsidRPr="00E36C3A">
        <w:rPr>
          <w:rFonts w:eastAsiaTheme="minorEastAsia" w:cstheme="minorBidi"/>
          <w:sz w:val="14"/>
          <w:szCs w:val="22"/>
          <w:lang w:eastAsia="nl-BE"/>
        </w:rPr>
        <w:tab/>
      </w:r>
      <w:r w:rsidRPr="00E36C3A">
        <w:rPr>
          <w:sz w:val="12"/>
        </w:rPr>
        <w:t>Rechtstreekse materiële schade</w:t>
      </w:r>
    </w:p>
    <w:p w14:paraId="657711DE" w14:textId="52754120" w:rsidR="008F61D1" w:rsidRPr="00E36C3A" w:rsidRDefault="008F61D1" w:rsidP="00E13D24">
      <w:pPr>
        <w:pStyle w:val="Inhopg4"/>
        <w:rPr>
          <w:rFonts w:eastAsiaTheme="minorEastAsia" w:cstheme="minorBidi"/>
          <w:sz w:val="14"/>
          <w:szCs w:val="22"/>
          <w:lang w:eastAsia="nl-BE"/>
        </w:rPr>
      </w:pPr>
      <w:r w:rsidRPr="00E36C3A">
        <w:rPr>
          <w:sz w:val="12"/>
        </w:rPr>
        <w:t>c)</w:t>
      </w:r>
      <w:r w:rsidRPr="00E36C3A">
        <w:rPr>
          <w:rFonts w:eastAsiaTheme="minorEastAsia" w:cstheme="minorBidi"/>
          <w:sz w:val="14"/>
          <w:szCs w:val="22"/>
          <w:lang w:eastAsia="nl-BE"/>
        </w:rPr>
        <w:tab/>
      </w:r>
      <w:r w:rsidRPr="00E36C3A">
        <w:rPr>
          <w:sz w:val="12"/>
        </w:rPr>
        <w:t>Plafond</w:t>
      </w:r>
    </w:p>
    <w:p w14:paraId="23F55B86" w14:textId="6B163583" w:rsidR="008F61D1" w:rsidRPr="00E36C3A" w:rsidRDefault="008F61D1" w:rsidP="00E13D24">
      <w:pPr>
        <w:pStyle w:val="Inhopg4"/>
        <w:rPr>
          <w:rFonts w:eastAsiaTheme="minorEastAsia" w:cstheme="minorBidi"/>
          <w:sz w:val="14"/>
          <w:szCs w:val="22"/>
          <w:lang w:eastAsia="nl-BE"/>
        </w:rPr>
      </w:pPr>
      <w:r w:rsidRPr="00E36C3A">
        <w:rPr>
          <w:sz w:val="12"/>
        </w:rPr>
        <w:t>d)</w:t>
      </w:r>
      <w:r w:rsidRPr="00E36C3A">
        <w:rPr>
          <w:rFonts w:eastAsiaTheme="minorEastAsia" w:cstheme="minorBidi"/>
          <w:sz w:val="14"/>
          <w:szCs w:val="22"/>
          <w:lang w:eastAsia="nl-BE"/>
        </w:rPr>
        <w:tab/>
      </w:r>
      <w:r w:rsidRPr="00E36C3A">
        <w:rPr>
          <w:sz w:val="12"/>
        </w:rPr>
        <w:t>Andere schade - exoneratie</w:t>
      </w:r>
    </w:p>
    <w:p w14:paraId="16C4F069" w14:textId="3B8BFBBF" w:rsidR="008F61D1" w:rsidRPr="00E36C3A" w:rsidRDefault="008F61D1" w:rsidP="00E13D24">
      <w:pPr>
        <w:pStyle w:val="Inhopg3"/>
        <w:rPr>
          <w:rFonts w:eastAsiaTheme="minorEastAsia" w:cstheme="minorBidi"/>
          <w:sz w:val="14"/>
          <w:szCs w:val="22"/>
          <w:lang w:eastAsia="nl-BE"/>
        </w:rPr>
      </w:pPr>
      <w:r w:rsidRPr="00E36C3A">
        <w:rPr>
          <w:sz w:val="12"/>
        </w:rPr>
        <w:t>10.3.2.</w:t>
      </w:r>
      <w:r w:rsidRPr="00E36C3A">
        <w:rPr>
          <w:rFonts w:eastAsiaTheme="minorEastAsia" w:cstheme="minorBidi"/>
          <w:sz w:val="14"/>
          <w:szCs w:val="22"/>
          <w:lang w:eastAsia="nl-BE"/>
        </w:rPr>
        <w:tab/>
      </w:r>
      <w:r w:rsidRPr="00E36C3A">
        <w:rPr>
          <w:sz w:val="12"/>
        </w:rPr>
        <w:t>Decretale ongemakkenvergoedingsregeling</w:t>
      </w:r>
    </w:p>
    <w:p w14:paraId="1C479F9F" w14:textId="0B39FF12" w:rsidR="008F61D1" w:rsidRPr="00E36C3A" w:rsidRDefault="008F61D1" w:rsidP="008A2CEB">
      <w:pPr>
        <w:pStyle w:val="Inhopg2"/>
        <w:tabs>
          <w:tab w:val="left" w:pos="800"/>
          <w:tab w:val="right" w:leader="dot" w:pos="9016"/>
        </w:tabs>
        <w:autoSpaceDE/>
        <w:autoSpaceDN/>
        <w:adjustRightInd/>
        <w:spacing w:before="120" w:after="0"/>
        <w:rPr>
          <w:rStyle w:val="Hyperlink"/>
          <w:rFonts w:asciiTheme="minorHAnsi" w:eastAsiaTheme="minorHAnsi" w:hAnsiTheme="minorHAnsi" w:cstheme="minorHAnsi"/>
          <w:color w:val="000000" w:themeColor="text1"/>
          <w:sz w:val="14"/>
          <w:szCs w:val="22"/>
          <w:lang w:val="nl-BE"/>
          <w14:scene3d>
            <w14:camera w14:prst="orthographicFront"/>
            <w14:lightRig w14:rig="threePt" w14:dir="t">
              <w14:rot w14:lat="0" w14:lon="0" w14:rev="0"/>
            </w14:lightRig>
          </w14:scene3d>
        </w:rPr>
      </w:pPr>
      <w:r w:rsidRPr="00E36C3A">
        <w:rPr>
          <w:rFonts w:asciiTheme="minorHAnsi" w:eastAsiaTheme="minorHAnsi" w:hAnsiTheme="minorHAnsi" w:cstheme="minorHAnsi"/>
          <w:b/>
          <w:bCs/>
          <w:noProof/>
          <w:sz w:val="14"/>
          <w:szCs w:val="22"/>
          <w:lang w:val="nl-BE"/>
          <w14:scene3d>
            <w14:camera w14:prst="orthographicFront"/>
            <w14:lightRig w14:rig="threePt" w14:dir="t">
              <w14:rot w14:lat="0" w14:lon="0" w14:rev="0"/>
            </w14:lightRig>
          </w14:scene3d>
        </w:rPr>
        <w:t>10.4.</w:t>
      </w:r>
      <w:r w:rsidRPr="00E36C3A">
        <w:rPr>
          <w:rFonts w:asciiTheme="minorHAnsi" w:eastAsiaTheme="minorHAnsi" w:hAnsiTheme="minorHAnsi" w:cstheme="minorHAnsi"/>
          <w:b/>
          <w:bCs/>
          <w:sz w:val="14"/>
          <w:szCs w:val="22"/>
          <w:lang w:val="nl-BE"/>
          <w14:scene3d>
            <w14:camera w14:prst="orthographicFront"/>
            <w14:lightRig w14:rig="threePt" w14:dir="t">
              <w14:rot w14:lat="0" w14:lon="0" w14:rev="0"/>
            </w14:lightRig>
          </w14:scene3d>
        </w:rPr>
        <w:tab/>
      </w:r>
      <w:r w:rsidRPr="00E36C3A">
        <w:rPr>
          <w:rFonts w:asciiTheme="minorHAnsi" w:eastAsiaTheme="minorHAnsi" w:hAnsiTheme="minorHAnsi" w:cstheme="minorHAnsi"/>
          <w:b/>
          <w:bCs/>
          <w:noProof/>
          <w:sz w:val="14"/>
          <w:szCs w:val="22"/>
          <w:lang w:val="nl-BE"/>
          <w14:scene3d>
            <w14:camera w14:prst="orthographicFront"/>
            <w14:lightRig w14:rig="threePt" w14:dir="t">
              <w14:rot w14:lat="0" w14:lon="0" w14:rev="0"/>
            </w14:lightRig>
          </w14:scene3d>
        </w:rPr>
        <w:t>Werkzaamheden aan de aansluiting</w:t>
      </w:r>
    </w:p>
    <w:p w14:paraId="02C36870" w14:textId="7B94ED46" w:rsidR="008F61D1" w:rsidRPr="00E36C3A" w:rsidRDefault="008F61D1" w:rsidP="008A2CEB">
      <w:pPr>
        <w:pStyle w:val="Inhopg2"/>
        <w:tabs>
          <w:tab w:val="left" w:pos="800"/>
          <w:tab w:val="right" w:leader="dot" w:pos="9016"/>
        </w:tabs>
        <w:autoSpaceDE/>
        <w:autoSpaceDN/>
        <w:adjustRightInd/>
        <w:spacing w:before="120" w:after="0"/>
        <w:rPr>
          <w:rStyle w:val="Hyperlink"/>
          <w:rFonts w:asciiTheme="minorHAnsi" w:eastAsiaTheme="minorHAnsi" w:hAnsiTheme="minorHAnsi" w:cstheme="minorHAnsi"/>
          <w:color w:val="000000" w:themeColor="text1"/>
          <w:sz w:val="14"/>
          <w:szCs w:val="22"/>
          <w:lang w:val="nl-BE"/>
          <w14:scene3d>
            <w14:camera w14:prst="orthographicFront"/>
            <w14:lightRig w14:rig="threePt" w14:dir="t">
              <w14:rot w14:lat="0" w14:lon="0" w14:rev="0"/>
            </w14:lightRig>
          </w14:scene3d>
        </w:rPr>
      </w:pPr>
      <w:r w:rsidRPr="00E36C3A">
        <w:rPr>
          <w:rFonts w:asciiTheme="minorHAnsi" w:eastAsiaTheme="minorHAnsi" w:hAnsiTheme="minorHAnsi" w:cstheme="minorHAnsi"/>
          <w:b/>
          <w:bCs/>
          <w:noProof/>
          <w:sz w:val="14"/>
          <w:szCs w:val="22"/>
          <w:lang w:val="nl-BE"/>
          <w14:scene3d>
            <w14:camera w14:prst="orthographicFront"/>
            <w14:lightRig w14:rig="threePt" w14:dir="t">
              <w14:rot w14:lat="0" w14:lon="0" w14:rev="0"/>
            </w14:lightRig>
          </w14:scene3d>
        </w:rPr>
        <w:t>10.5.</w:t>
      </w:r>
      <w:r w:rsidRPr="00E36C3A">
        <w:rPr>
          <w:rFonts w:asciiTheme="minorHAnsi" w:eastAsiaTheme="minorHAnsi" w:hAnsiTheme="minorHAnsi" w:cstheme="minorHAnsi"/>
          <w:b/>
          <w:bCs/>
          <w:sz w:val="14"/>
          <w:szCs w:val="22"/>
          <w:lang w:val="nl-BE"/>
          <w14:scene3d>
            <w14:camera w14:prst="orthographicFront"/>
            <w14:lightRig w14:rig="threePt" w14:dir="t">
              <w14:rot w14:lat="0" w14:lon="0" w14:rev="0"/>
            </w14:lightRig>
          </w14:scene3d>
        </w:rPr>
        <w:tab/>
      </w:r>
      <w:r w:rsidRPr="00E36C3A">
        <w:rPr>
          <w:rFonts w:asciiTheme="minorHAnsi" w:eastAsiaTheme="minorHAnsi" w:hAnsiTheme="minorHAnsi" w:cstheme="minorHAnsi"/>
          <w:b/>
          <w:bCs/>
          <w:noProof/>
          <w:sz w:val="14"/>
          <w:szCs w:val="22"/>
          <w:lang w:val="nl-BE"/>
          <w14:scene3d>
            <w14:camera w14:prst="orthographicFront"/>
            <w14:lightRig w14:rig="threePt" w14:dir="t">
              <w14:rot w14:lat="0" w14:lon="0" w14:rev="0"/>
            </w14:lightRig>
          </w14:scene3d>
        </w:rPr>
        <w:t>Kennisgeving van aanspraak op vergoeding</w:t>
      </w:r>
    </w:p>
    <w:p w14:paraId="1D8A43B7" w14:textId="3B4E1427" w:rsidR="008F61D1" w:rsidRPr="00E36C3A" w:rsidRDefault="008F61D1" w:rsidP="00E13D24">
      <w:pPr>
        <w:pStyle w:val="Inhopg3"/>
        <w:rPr>
          <w:rFonts w:eastAsiaTheme="minorEastAsia" w:cstheme="minorBidi"/>
          <w:sz w:val="14"/>
          <w:szCs w:val="22"/>
          <w:lang w:eastAsia="nl-BE"/>
        </w:rPr>
      </w:pPr>
      <w:r w:rsidRPr="00E36C3A">
        <w:rPr>
          <w:sz w:val="12"/>
        </w:rPr>
        <w:t>10.5.1.</w:t>
      </w:r>
      <w:r w:rsidRPr="00E36C3A">
        <w:rPr>
          <w:rFonts w:eastAsiaTheme="minorEastAsia" w:cstheme="minorBidi"/>
          <w:sz w:val="14"/>
          <w:szCs w:val="22"/>
          <w:lang w:eastAsia="nl-BE"/>
        </w:rPr>
        <w:tab/>
      </w:r>
      <w:r w:rsidRPr="00E36C3A">
        <w:rPr>
          <w:sz w:val="12"/>
        </w:rPr>
        <w:t>Schadevergoeding</w:t>
      </w:r>
    </w:p>
    <w:p w14:paraId="5C5491B5" w14:textId="31283A3E" w:rsidR="008F61D1" w:rsidRPr="00E36C3A" w:rsidRDefault="008F61D1" w:rsidP="00E13D24">
      <w:pPr>
        <w:pStyle w:val="Inhopg3"/>
        <w:rPr>
          <w:rFonts w:eastAsiaTheme="minorEastAsia" w:cstheme="minorBidi"/>
          <w:sz w:val="14"/>
          <w:szCs w:val="22"/>
          <w:lang w:eastAsia="nl-BE"/>
        </w:rPr>
      </w:pPr>
      <w:r w:rsidRPr="00E36C3A">
        <w:rPr>
          <w:sz w:val="12"/>
        </w:rPr>
        <w:t>10.5.2.</w:t>
      </w:r>
      <w:r w:rsidRPr="00E36C3A">
        <w:rPr>
          <w:rFonts w:eastAsiaTheme="minorEastAsia" w:cstheme="minorBidi"/>
          <w:sz w:val="14"/>
          <w:szCs w:val="22"/>
          <w:lang w:eastAsia="nl-BE"/>
        </w:rPr>
        <w:tab/>
      </w:r>
      <w:r w:rsidRPr="00E36C3A">
        <w:rPr>
          <w:sz w:val="12"/>
        </w:rPr>
        <w:t>Decretale ongemakkenvergoedingsregeling</w:t>
      </w:r>
    </w:p>
    <w:p w14:paraId="3366AF83" w14:textId="57C74671" w:rsidR="008F61D1" w:rsidRPr="00E36C3A" w:rsidRDefault="008F61D1" w:rsidP="008A2CEB">
      <w:pPr>
        <w:pStyle w:val="Inhopg2"/>
        <w:tabs>
          <w:tab w:val="left" w:pos="800"/>
          <w:tab w:val="right" w:leader="dot" w:pos="9016"/>
        </w:tabs>
        <w:autoSpaceDE/>
        <w:autoSpaceDN/>
        <w:adjustRightInd/>
        <w:spacing w:before="120" w:after="0"/>
        <w:rPr>
          <w:rStyle w:val="Hyperlink"/>
          <w:rFonts w:asciiTheme="minorHAnsi" w:eastAsiaTheme="minorHAnsi" w:hAnsiTheme="minorHAnsi" w:cstheme="minorHAnsi"/>
          <w:color w:val="000000" w:themeColor="text1"/>
          <w:sz w:val="14"/>
          <w:szCs w:val="22"/>
          <w:lang w:val="nl-BE"/>
          <w14:scene3d>
            <w14:camera w14:prst="orthographicFront"/>
            <w14:lightRig w14:rig="threePt" w14:dir="t">
              <w14:rot w14:lat="0" w14:lon="0" w14:rev="0"/>
            </w14:lightRig>
          </w14:scene3d>
        </w:rPr>
      </w:pPr>
      <w:r w:rsidRPr="00E36C3A">
        <w:rPr>
          <w:rFonts w:asciiTheme="minorHAnsi" w:eastAsiaTheme="minorHAnsi" w:hAnsiTheme="minorHAnsi" w:cstheme="minorHAnsi"/>
          <w:b/>
          <w:bCs/>
          <w:noProof/>
          <w:sz w:val="14"/>
          <w:szCs w:val="22"/>
          <w:lang w:val="nl-BE"/>
          <w14:scene3d>
            <w14:camera w14:prst="orthographicFront"/>
            <w14:lightRig w14:rig="threePt" w14:dir="t">
              <w14:rot w14:lat="0" w14:lon="0" w14:rev="0"/>
            </w14:lightRig>
          </w14:scene3d>
        </w:rPr>
        <w:t>10.6.</w:t>
      </w:r>
      <w:r w:rsidRPr="00E36C3A">
        <w:rPr>
          <w:rFonts w:asciiTheme="minorHAnsi" w:eastAsiaTheme="minorHAnsi" w:hAnsiTheme="minorHAnsi" w:cstheme="minorHAnsi"/>
          <w:b/>
          <w:bCs/>
          <w:sz w:val="14"/>
          <w:szCs w:val="22"/>
          <w:lang w:val="nl-BE"/>
          <w14:scene3d>
            <w14:camera w14:prst="orthographicFront"/>
            <w14:lightRig w14:rig="threePt" w14:dir="t">
              <w14:rot w14:lat="0" w14:lon="0" w14:rev="0"/>
            </w14:lightRig>
          </w14:scene3d>
        </w:rPr>
        <w:tab/>
      </w:r>
      <w:r w:rsidRPr="00E36C3A">
        <w:rPr>
          <w:rFonts w:asciiTheme="minorHAnsi" w:eastAsiaTheme="minorHAnsi" w:hAnsiTheme="minorHAnsi" w:cstheme="minorHAnsi"/>
          <w:b/>
          <w:bCs/>
          <w:noProof/>
          <w:sz w:val="14"/>
          <w:szCs w:val="22"/>
          <w:lang w:val="nl-BE"/>
          <w14:scene3d>
            <w14:camera w14:prst="orthographicFront"/>
            <w14:lightRig w14:rig="threePt" w14:dir="t">
              <w14:rot w14:lat="0" w14:lon="0" w14:rev="0"/>
            </w14:lightRig>
          </w14:scene3d>
        </w:rPr>
        <w:t>Verzekeringen</w:t>
      </w:r>
    </w:p>
    <w:p w14:paraId="0567F781" w14:textId="1A998558" w:rsidR="008F61D1" w:rsidRPr="00E36C3A" w:rsidRDefault="008F61D1" w:rsidP="008A2CEB">
      <w:pPr>
        <w:pStyle w:val="Inhopg2"/>
        <w:tabs>
          <w:tab w:val="left" w:pos="800"/>
          <w:tab w:val="right" w:leader="dot" w:pos="9016"/>
        </w:tabs>
        <w:autoSpaceDE/>
        <w:autoSpaceDN/>
        <w:adjustRightInd/>
        <w:spacing w:before="120" w:after="0"/>
        <w:rPr>
          <w:rStyle w:val="Hyperlink"/>
          <w:rFonts w:asciiTheme="minorHAnsi" w:eastAsiaTheme="minorHAnsi" w:hAnsiTheme="minorHAnsi" w:cstheme="minorHAnsi"/>
          <w:color w:val="000000" w:themeColor="text1"/>
          <w:sz w:val="14"/>
          <w:szCs w:val="22"/>
          <w:lang w:val="nl-BE"/>
          <w14:scene3d>
            <w14:camera w14:prst="orthographicFront"/>
            <w14:lightRig w14:rig="threePt" w14:dir="t">
              <w14:rot w14:lat="0" w14:lon="0" w14:rev="0"/>
            </w14:lightRig>
          </w14:scene3d>
        </w:rPr>
      </w:pPr>
      <w:r w:rsidRPr="00E36C3A">
        <w:rPr>
          <w:rFonts w:asciiTheme="minorHAnsi" w:eastAsiaTheme="minorHAnsi" w:hAnsiTheme="minorHAnsi" w:cstheme="minorHAnsi"/>
          <w:b/>
          <w:bCs/>
          <w:noProof/>
          <w:sz w:val="14"/>
          <w:szCs w:val="22"/>
          <w:lang w:val="nl-BE"/>
          <w14:scene3d>
            <w14:camera w14:prst="orthographicFront"/>
            <w14:lightRig w14:rig="threePt" w14:dir="t">
              <w14:rot w14:lat="0" w14:lon="0" w14:rev="0"/>
            </w14:lightRig>
          </w14:scene3d>
        </w:rPr>
        <w:t>10.7.</w:t>
      </w:r>
      <w:r w:rsidRPr="00E36C3A">
        <w:rPr>
          <w:rFonts w:asciiTheme="minorHAnsi" w:eastAsiaTheme="minorHAnsi" w:hAnsiTheme="minorHAnsi" w:cstheme="minorHAnsi"/>
          <w:b/>
          <w:bCs/>
          <w:sz w:val="14"/>
          <w:szCs w:val="22"/>
          <w:lang w:val="nl-BE"/>
          <w14:scene3d>
            <w14:camera w14:prst="orthographicFront"/>
            <w14:lightRig w14:rig="threePt" w14:dir="t">
              <w14:rot w14:lat="0" w14:lon="0" w14:rev="0"/>
            </w14:lightRig>
          </w14:scene3d>
        </w:rPr>
        <w:tab/>
      </w:r>
      <w:r w:rsidRPr="00E36C3A">
        <w:rPr>
          <w:rFonts w:asciiTheme="minorHAnsi" w:eastAsiaTheme="minorHAnsi" w:hAnsiTheme="minorHAnsi" w:cstheme="minorHAnsi"/>
          <w:b/>
          <w:bCs/>
          <w:noProof/>
          <w:sz w:val="14"/>
          <w:szCs w:val="22"/>
          <w:lang w:val="nl-BE"/>
          <w14:scene3d>
            <w14:camera w14:prst="orthographicFront"/>
            <w14:lightRig w14:rig="threePt" w14:dir="t">
              <w14:rot w14:lat="0" w14:lon="0" w14:rev="0"/>
            </w14:lightRig>
          </w14:scene3d>
        </w:rPr>
        <w:t>Overmacht en noodsituatie</w:t>
      </w:r>
    </w:p>
    <w:p w14:paraId="008ECB36" w14:textId="3813345F" w:rsidR="008F61D1" w:rsidRPr="00E36C3A" w:rsidRDefault="008F61D1" w:rsidP="00E13D24">
      <w:pPr>
        <w:pStyle w:val="Inhopg3"/>
        <w:rPr>
          <w:rFonts w:eastAsiaTheme="minorEastAsia" w:cstheme="minorBidi"/>
          <w:sz w:val="14"/>
          <w:szCs w:val="22"/>
          <w:lang w:eastAsia="nl-BE"/>
        </w:rPr>
      </w:pPr>
      <w:r w:rsidRPr="00E36C3A">
        <w:rPr>
          <w:sz w:val="12"/>
        </w:rPr>
        <w:t>10.7.1.</w:t>
      </w:r>
      <w:r w:rsidRPr="00E36C3A">
        <w:rPr>
          <w:rFonts w:eastAsiaTheme="minorEastAsia" w:cstheme="minorBidi"/>
          <w:sz w:val="14"/>
          <w:szCs w:val="22"/>
          <w:lang w:eastAsia="nl-BE"/>
        </w:rPr>
        <w:tab/>
      </w:r>
      <w:r w:rsidRPr="00E36C3A">
        <w:rPr>
          <w:sz w:val="12"/>
        </w:rPr>
        <w:t>Overmacht</w:t>
      </w:r>
    </w:p>
    <w:p w14:paraId="011684B4" w14:textId="5DA334D1" w:rsidR="008F61D1" w:rsidRPr="00E36C3A" w:rsidRDefault="008F61D1" w:rsidP="00E13D24">
      <w:pPr>
        <w:pStyle w:val="Inhopg3"/>
        <w:rPr>
          <w:rFonts w:eastAsiaTheme="minorEastAsia" w:cstheme="minorBidi"/>
          <w:sz w:val="14"/>
          <w:szCs w:val="22"/>
          <w:lang w:eastAsia="nl-BE"/>
        </w:rPr>
      </w:pPr>
      <w:r w:rsidRPr="00E36C3A">
        <w:rPr>
          <w:sz w:val="12"/>
        </w:rPr>
        <w:t>10.7.2.</w:t>
      </w:r>
      <w:r w:rsidRPr="00E36C3A">
        <w:rPr>
          <w:rFonts w:eastAsiaTheme="minorEastAsia" w:cstheme="minorBidi"/>
          <w:sz w:val="14"/>
          <w:szCs w:val="22"/>
          <w:lang w:eastAsia="nl-BE"/>
        </w:rPr>
        <w:tab/>
      </w:r>
      <w:r w:rsidRPr="00E36C3A">
        <w:rPr>
          <w:sz w:val="12"/>
        </w:rPr>
        <w:t>Gevallen van noodsituatie</w:t>
      </w:r>
    </w:p>
    <w:p w14:paraId="57ED95B4" w14:textId="28D33551" w:rsidR="008F61D1" w:rsidRPr="00E36C3A" w:rsidRDefault="008F61D1" w:rsidP="00A8168C">
      <w:pPr>
        <w:pStyle w:val="Inhopg1"/>
        <w:rPr>
          <w:rStyle w:val="Hyperlink"/>
          <w:color w:val="000000" w:themeColor="text1"/>
          <w:sz w:val="16"/>
          <w:lang w:val="nl-BE"/>
        </w:rPr>
      </w:pPr>
      <w:r w:rsidRPr="00E36C3A">
        <w:rPr>
          <w:sz w:val="16"/>
          <w:lang w:val="nl-BE"/>
        </w:rPr>
        <w:t>Artikel 11</w:t>
      </w:r>
      <w:r w:rsidRPr="00E36C3A">
        <w:rPr>
          <w:sz w:val="16"/>
          <w:lang w:val="nl-BE"/>
        </w:rPr>
        <w:tab/>
        <w:t>Overdracht en faillissement</w:t>
      </w:r>
    </w:p>
    <w:p w14:paraId="5094F517" w14:textId="39396EC8" w:rsidR="008F61D1" w:rsidRPr="00E36C3A" w:rsidRDefault="008F61D1" w:rsidP="008A2CEB">
      <w:pPr>
        <w:pStyle w:val="Inhopg2"/>
        <w:tabs>
          <w:tab w:val="left" w:pos="800"/>
          <w:tab w:val="right" w:leader="dot" w:pos="9016"/>
        </w:tabs>
        <w:autoSpaceDE/>
        <w:autoSpaceDN/>
        <w:adjustRightInd/>
        <w:spacing w:before="120" w:after="0"/>
        <w:rPr>
          <w:rStyle w:val="Hyperlink"/>
          <w:rFonts w:asciiTheme="minorHAnsi" w:eastAsiaTheme="minorHAnsi" w:hAnsiTheme="minorHAnsi" w:cstheme="minorHAnsi"/>
          <w:color w:val="000000" w:themeColor="text1"/>
          <w:sz w:val="14"/>
          <w:szCs w:val="22"/>
          <w:lang w:val="nl-BE"/>
          <w14:scene3d>
            <w14:camera w14:prst="orthographicFront"/>
            <w14:lightRig w14:rig="threePt" w14:dir="t">
              <w14:rot w14:lat="0" w14:lon="0" w14:rev="0"/>
            </w14:lightRig>
          </w14:scene3d>
        </w:rPr>
      </w:pPr>
      <w:r w:rsidRPr="00E36C3A">
        <w:rPr>
          <w:rFonts w:asciiTheme="minorHAnsi" w:eastAsiaTheme="minorHAnsi" w:hAnsiTheme="minorHAnsi" w:cstheme="minorHAnsi"/>
          <w:b/>
          <w:bCs/>
          <w:noProof/>
          <w:sz w:val="14"/>
          <w:szCs w:val="22"/>
          <w:lang w:val="nl-BE"/>
          <w14:scene3d>
            <w14:camera w14:prst="orthographicFront"/>
            <w14:lightRig w14:rig="threePt" w14:dir="t">
              <w14:rot w14:lat="0" w14:lon="0" w14:rev="0"/>
            </w14:lightRig>
          </w14:scene3d>
        </w:rPr>
        <w:t>11.1.</w:t>
      </w:r>
      <w:r w:rsidRPr="00E36C3A">
        <w:rPr>
          <w:rFonts w:asciiTheme="minorHAnsi" w:eastAsiaTheme="minorHAnsi" w:hAnsiTheme="minorHAnsi" w:cstheme="minorHAnsi"/>
          <w:b/>
          <w:bCs/>
          <w:sz w:val="14"/>
          <w:szCs w:val="22"/>
          <w:lang w:val="nl-BE"/>
          <w14:scene3d>
            <w14:camera w14:prst="orthographicFront"/>
            <w14:lightRig w14:rig="threePt" w14:dir="t">
              <w14:rot w14:lat="0" w14:lon="0" w14:rev="0"/>
            </w14:lightRig>
          </w14:scene3d>
        </w:rPr>
        <w:tab/>
      </w:r>
      <w:r w:rsidRPr="00E36C3A">
        <w:rPr>
          <w:rFonts w:asciiTheme="minorHAnsi" w:eastAsiaTheme="minorHAnsi" w:hAnsiTheme="minorHAnsi" w:cstheme="minorHAnsi"/>
          <w:b/>
          <w:bCs/>
          <w:noProof/>
          <w:sz w:val="14"/>
          <w:szCs w:val="22"/>
          <w:lang w:val="nl-BE"/>
          <w14:scene3d>
            <w14:camera w14:prst="orthographicFront"/>
            <w14:lightRig w14:rig="threePt" w14:dir="t">
              <w14:rot w14:lat="0" w14:lon="0" w14:rev="0"/>
            </w14:lightRig>
          </w14:scene3d>
        </w:rPr>
        <w:t>Overdracht</w:t>
      </w:r>
    </w:p>
    <w:p w14:paraId="7D8B44A6" w14:textId="5CF289C8" w:rsidR="008F61D1" w:rsidRPr="00E36C3A" w:rsidRDefault="008F61D1" w:rsidP="008A2CEB">
      <w:pPr>
        <w:pStyle w:val="Inhopg2"/>
        <w:tabs>
          <w:tab w:val="left" w:pos="800"/>
          <w:tab w:val="right" w:leader="dot" w:pos="9016"/>
        </w:tabs>
        <w:autoSpaceDE/>
        <w:autoSpaceDN/>
        <w:adjustRightInd/>
        <w:spacing w:before="120" w:after="0"/>
        <w:rPr>
          <w:rStyle w:val="Hyperlink"/>
          <w:rFonts w:asciiTheme="minorHAnsi" w:eastAsiaTheme="minorHAnsi" w:hAnsiTheme="minorHAnsi" w:cstheme="minorHAnsi"/>
          <w:color w:val="000000" w:themeColor="text1"/>
          <w:sz w:val="14"/>
          <w:szCs w:val="22"/>
          <w:lang w:val="nl-BE"/>
          <w14:scene3d>
            <w14:camera w14:prst="orthographicFront"/>
            <w14:lightRig w14:rig="threePt" w14:dir="t">
              <w14:rot w14:lat="0" w14:lon="0" w14:rev="0"/>
            </w14:lightRig>
          </w14:scene3d>
        </w:rPr>
      </w:pPr>
      <w:r w:rsidRPr="00E36C3A">
        <w:rPr>
          <w:rFonts w:asciiTheme="minorHAnsi" w:eastAsiaTheme="minorHAnsi" w:hAnsiTheme="minorHAnsi" w:cstheme="minorHAnsi"/>
          <w:b/>
          <w:bCs/>
          <w:noProof/>
          <w:sz w:val="14"/>
          <w:szCs w:val="22"/>
          <w:lang w:val="nl-BE"/>
          <w14:scene3d>
            <w14:camera w14:prst="orthographicFront"/>
            <w14:lightRig w14:rig="threePt" w14:dir="t">
              <w14:rot w14:lat="0" w14:lon="0" w14:rev="0"/>
            </w14:lightRig>
          </w14:scene3d>
        </w:rPr>
        <w:t>11.2.</w:t>
      </w:r>
      <w:r w:rsidRPr="00E36C3A">
        <w:rPr>
          <w:rFonts w:asciiTheme="minorHAnsi" w:eastAsiaTheme="minorHAnsi" w:hAnsiTheme="minorHAnsi" w:cstheme="minorHAnsi"/>
          <w:b/>
          <w:bCs/>
          <w:sz w:val="14"/>
          <w:szCs w:val="22"/>
          <w:lang w:val="nl-BE"/>
          <w14:scene3d>
            <w14:camera w14:prst="orthographicFront"/>
            <w14:lightRig w14:rig="threePt" w14:dir="t">
              <w14:rot w14:lat="0" w14:lon="0" w14:rev="0"/>
            </w14:lightRig>
          </w14:scene3d>
        </w:rPr>
        <w:tab/>
      </w:r>
      <w:r w:rsidRPr="00E36C3A">
        <w:rPr>
          <w:rFonts w:asciiTheme="minorHAnsi" w:eastAsiaTheme="minorHAnsi" w:hAnsiTheme="minorHAnsi" w:cstheme="minorHAnsi"/>
          <w:b/>
          <w:bCs/>
          <w:noProof/>
          <w:sz w:val="14"/>
          <w:szCs w:val="22"/>
          <w:lang w:val="nl-BE"/>
          <w14:scene3d>
            <w14:camera w14:prst="orthographicFront"/>
            <w14:lightRig w14:rig="threePt" w14:dir="t">
              <w14:rot w14:lat="0" w14:lon="0" w14:rev="0"/>
            </w14:lightRig>
          </w14:scene3d>
        </w:rPr>
        <w:t>Faillissement</w:t>
      </w:r>
    </w:p>
    <w:p w14:paraId="62D59794" w14:textId="40B6DE77" w:rsidR="008F61D1" w:rsidRPr="00E36C3A" w:rsidRDefault="008F61D1" w:rsidP="00A8168C">
      <w:pPr>
        <w:pStyle w:val="Inhopg1"/>
        <w:rPr>
          <w:rStyle w:val="Hyperlink"/>
          <w:color w:val="000000" w:themeColor="text1"/>
          <w:sz w:val="16"/>
          <w:lang w:val="nl-BE"/>
        </w:rPr>
      </w:pPr>
      <w:r w:rsidRPr="00E36C3A">
        <w:rPr>
          <w:sz w:val="16"/>
          <w:lang w:val="nl-BE"/>
        </w:rPr>
        <w:t>Artikel 12</w:t>
      </w:r>
      <w:r w:rsidRPr="00E36C3A">
        <w:rPr>
          <w:sz w:val="16"/>
          <w:lang w:val="nl-BE"/>
        </w:rPr>
        <w:tab/>
        <w:t>Betalingsmodaliteiten</w:t>
      </w:r>
    </w:p>
    <w:p w14:paraId="3724EB99" w14:textId="5845DFAC" w:rsidR="008F61D1" w:rsidRPr="00E36C3A" w:rsidRDefault="008F61D1" w:rsidP="008A2CEB">
      <w:pPr>
        <w:pStyle w:val="Inhopg2"/>
        <w:tabs>
          <w:tab w:val="left" w:pos="800"/>
          <w:tab w:val="right" w:leader="dot" w:pos="9016"/>
        </w:tabs>
        <w:autoSpaceDE/>
        <w:autoSpaceDN/>
        <w:adjustRightInd/>
        <w:spacing w:before="120" w:after="0"/>
        <w:rPr>
          <w:rStyle w:val="Hyperlink"/>
          <w:rFonts w:asciiTheme="minorHAnsi" w:eastAsiaTheme="minorHAnsi" w:hAnsiTheme="minorHAnsi" w:cstheme="minorHAnsi"/>
          <w:color w:val="000000" w:themeColor="text1"/>
          <w:sz w:val="14"/>
          <w:szCs w:val="22"/>
          <w:lang w:val="nl-BE"/>
          <w14:scene3d>
            <w14:camera w14:prst="orthographicFront"/>
            <w14:lightRig w14:rig="threePt" w14:dir="t">
              <w14:rot w14:lat="0" w14:lon="0" w14:rev="0"/>
            </w14:lightRig>
          </w14:scene3d>
        </w:rPr>
      </w:pPr>
      <w:r w:rsidRPr="00E36C3A">
        <w:rPr>
          <w:rFonts w:asciiTheme="minorHAnsi" w:eastAsiaTheme="minorHAnsi" w:hAnsiTheme="minorHAnsi" w:cstheme="minorHAnsi"/>
          <w:b/>
          <w:bCs/>
          <w:noProof/>
          <w:sz w:val="14"/>
          <w:szCs w:val="22"/>
          <w:lang w:val="nl-BE"/>
          <w14:scene3d>
            <w14:camera w14:prst="orthographicFront"/>
            <w14:lightRig w14:rig="threePt" w14:dir="t">
              <w14:rot w14:lat="0" w14:lon="0" w14:rev="0"/>
            </w14:lightRig>
          </w14:scene3d>
        </w:rPr>
        <w:t>12.1.</w:t>
      </w:r>
      <w:r w:rsidRPr="00E36C3A">
        <w:rPr>
          <w:rFonts w:asciiTheme="minorHAnsi" w:eastAsiaTheme="minorHAnsi" w:hAnsiTheme="minorHAnsi" w:cstheme="minorHAnsi"/>
          <w:b/>
          <w:bCs/>
          <w:sz w:val="14"/>
          <w:szCs w:val="22"/>
          <w:lang w:val="nl-BE"/>
          <w14:scene3d>
            <w14:camera w14:prst="orthographicFront"/>
            <w14:lightRig w14:rig="threePt" w14:dir="t">
              <w14:rot w14:lat="0" w14:lon="0" w14:rev="0"/>
            </w14:lightRig>
          </w14:scene3d>
        </w:rPr>
        <w:tab/>
      </w:r>
      <w:r w:rsidR="00094BFC" w:rsidRPr="00E36C3A">
        <w:rPr>
          <w:rFonts w:asciiTheme="minorHAnsi" w:eastAsiaTheme="minorHAnsi" w:hAnsiTheme="minorHAnsi" w:cstheme="minorHAnsi"/>
          <w:b/>
          <w:bCs/>
          <w:noProof/>
          <w:sz w:val="14"/>
          <w:szCs w:val="22"/>
          <w:lang w:val="nl-BE"/>
          <w14:scene3d>
            <w14:camera w14:prst="orthographicFront"/>
            <w14:lightRig w14:rig="threePt" w14:dir="t">
              <w14:rot w14:lat="0" w14:lon="0" w14:rev="0"/>
            </w14:lightRig>
          </w14:scene3d>
        </w:rPr>
        <w:t>Niet-periodieke Tarieven</w:t>
      </w:r>
    </w:p>
    <w:p w14:paraId="1E6F1677" w14:textId="266171CF" w:rsidR="008F61D1" w:rsidRPr="00E36C3A" w:rsidRDefault="008F61D1" w:rsidP="008A2CEB">
      <w:pPr>
        <w:pStyle w:val="Inhopg2"/>
        <w:tabs>
          <w:tab w:val="left" w:pos="800"/>
          <w:tab w:val="right" w:leader="dot" w:pos="9016"/>
        </w:tabs>
        <w:autoSpaceDE/>
        <w:autoSpaceDN/>
        <w:adjustRightInd/>
        <w:spacing w:before="120" w:after="0"/>
        <w:rPr>
          <w:rStyle w:val="Hyperlink"/>
          <w:rFonts w:asciiTheme="minorHAnsi" w:eastAsiaTheme="minorHAnsi" w:hAnsiTheme="minorHAnsi" w:cstheme="minorHAnsi"/>
          <w:color w:val="000000" w:themeColor="text1"/>
          <w:sz w:val="14"/>
          <w:szCs w:val="22"/>
          <w:lang w:val="nl-BE"/>
          <w14:scene3d>
            <w14:camera w14:prst="orthographicFront"/>
            <w14:lightRig w14:rig="threePt" w14:dir="t">
              <w14:rot w14:lat="0" w14:lon="0" w14:rev="0"/>
            </w14:lightRig>
          </w14:scene3d>
        </w:rPr>
      </w:pPr>
      <w:r w:rsidRPr="00E36C3A">
        <w:rPr>
          <w:rFonts w:asciiTheme="minorHAnsi" w:eastAsiaTheme="minorHAnsi" w:hAnsiTheme="minorHAnsi" w:cstheme="minorHAnsi"/>
          <w:b/>
          <w:bCs/>
          <w:noProof/>
          <w:sz w:val="14"/>
          <w:szCs w:val="22"/>
          <w:lang w:val="nl-BE"/>
          <w14:scene3d>
            <w14:camera w14:prst="orthographicFront"/>
            <w14:lightRig w14:rig="threePt" w14:dir="t">
              <w14:rot w14:lat="0" w14:lon="0" w14:rev="0"/>
            </w14:lightRig>
          </w14:scene3d>
        </w:rPr>
        <w:t>12.2.</w:t>
      </w:r>
      <w:r w:rsidRPr="00E36C3A">
        <w:rPr>
          <w:rFonts w:asciiTheme="minorHAnsi" w:eastAsiaTheme="minorHAnsi" w:hAnsiTheme="minorHAnsi" w:cstheme="minorHAnsi"/>
          <w:b/>
          <w:bCs/>
          <w:sz w:val="14"/>
          <w:szCs w:val="22"/>
          <w:lang w:val="nl-BE"/>
          <w14:scene3d>
            <w14:camera w14:prst="orthographicFront"/>
            <w14:lightRig w14:rig="threePt" w14:dir="t">
              <w14:rot w14:lat="0" w14:lon="0" w14:rev="0"/>
            </w14:lightRig>
          </w14:scene3d>
        </w:rPr>
        <w:tab/>
      </w:r>
      <w:r w:rsidRPr="00E36C3A">
        <w:rPr>
          <w:rFonts w:asciiTheme="minorHAnsi" w:eastAsiaTheme="minorHAnsi" w:hAnsiTheme="minorHAnsi" w:cstheme="minorHAnsi"/>
          <w:b/>
          <w:bCs/>
          <w:noProof/>
          <w:sz w:val="14"/>
          <w:szCs w:val="22"/>
          <w:lang w:val="nl-BE"/>
          <w14:scene3d>
            <w14:camera w14:prst="orthographicFront"/>
            <w14:lightRig w14:rig="threePt" w14:dir="t">
              <w14:rot w14:lat="0" w14:lon="0" w14:rev="0"/>
            </w14:lightRig>
          </w14:scene3d>
        </w:rPr>
        <w:t>Periodieke Tarieven</w:t>
      </w:r>
    </w:p>
    <w:p w14:paraId="26BD8A74" w14:textId="2B677CD4" w:rsidR="008F61D1" w:rsidRPr="00E36C3A" w:rsidRDefault="008F61D1" w:rsidP="008A2CEB">
      <w:pPr>
        <w:pStyle w:val="Inhopg2"/>
        <w:tabs>
          <w:tab w:val="left" w:pos="800"/>
          <w:tab w:val="right" w:leader="dot" w:pos="9016"/>
        </w:tabs>
        <w:autoSpaceDE/>
        <w:autoSpaceDN/>
        <w:adjustRightInd/>
        <w:spacing w:before="120" w:after="0"/>
        <w:rPr>
          <w:rStyle w:val="Hyperlink"/>
          <w:rFonts w:asciiTheme="minorHAnsi" w:eastAsiaTheme="minorHAnsi" w:hAnsiTheme="minorHAnsi" w:cstheme="minorHAnsi"/>
          <w:color w:val="000000" w:themeColor="text1"/>
          <w:sz w:val="14"/>
          <w:szCs w:val="22"/>
          <w:lang w:val="nl-BE"/>
          <w14:scene3d>
            <w14:camera w14:prst="orthographicFront"/>
            <w14:lightRig w14:rig="threePt" w14:dir="t">
              <w14:rot w14:lat="0" w14:lon="0" w14:rev="0"/>
            </w14:lightRig>
          </w14:scene3d>
        </w:rPr>
      </w:pPr>
      <w:r w:rsidRPr="00E36C3A">
        <w:rPr>
          <w:rFonts w:asciiTheme="minorHAnsi" w:eastAsiaTheme="minorHAnsi" w:hAnsiTheme="minorHAnsi" w:cstheme="minorHAnsi"/>
          <w:b/>
          <w:bCs/>
          <w:noProof/>
          <w:sz w:val="14"/>
          <w:szCs w:val="22"/>
          <w:lang w:val="nl-BE"/>
          <w14:scene3d>
            <w14:camera w14:prst="orthographicFront"/>
            <w14:lightRig w14:rig="threePt" w14:dir="t">
              <w14:rot w14:lat="0" w14:lon="0" w14:rev="0"/>
            </w14:lightRig>
          </w14:scene3d>
        </w:rPr>
        <w:t>12.3.</w:t>
      </w:r>
      <w:r w:rsidRPr="00E36C3A">
        <w:rPr>
          <w:rFonts w:asciiTheme="minorHAnsi" w:eastAsiaTheme="minorHAnsi" w:hAnsiTheme="minorHAnsi" w:cstheme="minorHAnsi"/>
          <w:b/>
          <w:bCs/>
          <w:sz w:val="14"/>
          <w:szCs w:val="22"/>
          <w:lang w:val="nl-BE"/>
          <w14:scene3d>
            <w14:camera w14:prst="orthographicFront"/>
            <w14:lightRig w14:rig="threePt" w14:dir="t">
              <w14:rot w14:lat="0" w14:lon="0" w14:rev="0"/>
            </w14:lightRig>
          </w14:scene3d>
        </w:rPr>
        <w:tab/>
      </w:r>
      <w:r w:rsidRPr="00E36C3A">
        <w:rPr>
          <w:rFonts w:asciiTheme="minorHAnsi" w:eastAsiaTheme="minorHAnsi" w:hAnsiTheme="minorHAnsi" w:cstheme="minorHAnsi"/>
          <w:b/>
          <w:bCs/>
          <w:noProof/>
          <w:sz w:val="14"/>
          <w:szCs w:val="22"/>
          <w:lang w:val="nl-BE"/>
          <w14:scene3d>
            <w14:camera w14:prst="orthographicFront"/>
            <w14:lightRig w14:rig="threePt" w14:dir="t">
              <w14:rot w14:lat="0" w14:lon="0" w14:rev="0"/>
            </w14:lightRig>
          </w14:scene3d>
        </w:rPr>
        <w:t>Geldend voor alle Tarieven</w:t>
      </w:r>
    </w:p>
    <w:p w14:paraId="507558F5" w14:textId="62D11831" w:rsidR="008F61D1" w:rsidRPr="00E36C3A" w:rsidRDefault="008F61D1" w:rsidP="008A2CEB">
      <w:pPr>
        <w:pStyle w:val="Inhopg2"/>
        <w:tabs>
          <w:tab w:val="left" w:pos="800"/>
          <w:tab w:val="right" w:leader="dot" w:pos="9016"/>
        </w:tabs>
        <w:autoSpaceDE/>
        <w:autoSpaceDN/>
        <w:adjustRightInd/>
        <w:spacing w:before="120" w:after="0"/>
        <w:rPr>
          <w:rStyle w:val="Hyperlink"/>
          <w:rFonts w:asciiTheme="minorHAnsi" w:eastAsiaTheme="minorHAnsi" w:hAnsiTheme="minorHAnsi" w:cstheme="minorHAnsi"/>
          <w:color w:val="000000" w:themeColor="text1"/>
          <w:sz w:val="14"/>
          <w:szCs w:val="22"/>
          <w:lang w:val="nl-BE"/>
          <w14:scene3d>
            <w14:camera w14:prst="orthographicFront"/>
            <w14:lightRig w14:rig="threePt" w14:dir="t">
              <w14:rot w14:lat="0" w14:lon="0" w14:rev="0"/>
            </w14:lightRig>
          </w14:scene3d>
        </w:rPr>
      </w:pPr>
      <w:r w:rsidRPr="00E36C3A">
        <w:rPr>
          <w:rFonts w:asciiTheme="minorHAnsi" w:eastAsiaTheme="minorHAnsi" w:hAnsiTheme="minorHAnsi" w:cstheme="minorHAnsi"/>
          <w:b/>
          <w:bCs/>
          <w:noProof/>
          <w:sz w:val="14"/>
          <w:szCs w:val="22"/>
          <w:lang w:val="nl-BE"/>
          <w14:scene3d>
            <w14:camera w14:prst="orthographicFront"/>
            <w14:lightRig w14:rig="threePt" w14:dir="t">
              <w14:rot w14:lat="0" w14:lon="0" w14:rev="0"/>
            </w14:lightRig>
          </w14:scene3d>
        </w:rPr>
        <w:t>12.4.</w:t>
      </w:r>
      <w:r w:rsidRPr="00E36C3A">
        <w:rPr>
          <w:rFonts w:asciiTheme="minorHAnsi" w:eastAsiaTheme="minorHAnsi" w:hAnsiTheme="minorHAnsi" w:cstheme="minorHAnsi"/>
          <w:b/>
          <w:bCs/>
          <w:sz w:val="14"/>
          <w:szCs w:val="22"/>
          <w:lang w:val="nl-BE"/>
          <w14:scene3d>
            <w14:camera w14:prst="orthographicFront"/>
            <w14:lightRig w14:rig="threePt" w14:dir="t">
              <w14:rot w14:lat="0" w14:lon="0" w14:rev="0"/>
            </w14:lightRig>
          </w14:scene3d>
        </w:rPr>
        <w:tab/>
      </w:r>
      <w:r w:rsidRPr="00E36C3A">
        <w:rPr>
          <w:rFonts w:asciiTheme="minorHAnsi" w:eastAsiaTheme="minorHAnsi" w:hAnsiTheme="minorHAnsi" w:cstheme="minorHAnsi"/>
          <w:b/>
          <w:bCs/>
          <w:noProof/>
          <w:sz w:val="14"/>
          <w:szCs w:val="22"/>
          <w:lang w:val="nl-BE"/>
          <w14:scene3d>
            <w14:camera w14:prst="orthographicFront"/>
            <w14:lightRig w14:rig="threePt" w14:dir="t">
              <w14:rot w14:lat="0" w14:lon="0" w14:rev="0"/>
            </w14:lightRig>
          </w14:scene3d>
        </w:rPr>
        <w:t>Vergoedingen en belastingen</w:t>
      </w:r>
    </w:p>
    <w:p w14:paraId="40E2A085" w14:textId="6B6571CB" w:rsidR="008F61D1" w:rsidRPr="00E36C3A" w:rsidRDefault="008F61D1" w:rsidP="008A2CEB">
      <w:pPr>
        <w:pStyle w:val="Inhopg2"/>
        <w:tabs>
          <w:tab w:val="left" w:pos="800"/>
          <w:tab w:val="right" w:leader="dot" w:pos="9016"/>
        </w:tabs>
        <w:autoSpaceDE/>
        <w:autoSpaceDN/>
        <w:adjustRightInd/>
        <w:spacing w:before="120" w:after="0"/>
        <w:rPr>
          <w:rStyle w:val="Hyperlink"/>
          <w:rFonts w:asciiTheme="minorHAnsi" w:eastAsiaTheme="minorHAnsi" w:hAnsiTheme="minorHAnsi" w:cstheme="minorHAnsi"/>
          <w:color w:val="000000" w:themeColor="text1"/>
          <w:sz w:val="14"/>
          <w:szCs w:val="22"/>
          <w:lang w:val="nl-BE"/>
          <w14:scene3d>
            <w14:camera w14:prst="orthographicFront"/>
            <w14:lightRig w14:rig="threePt" w14:dir="t">
              <w14:rot w14:lat="0" w14:lon="0" w14:rev="0"/>
            </w14:lightRig>
          </w14:scene3d>
        </w:rPr>
      </w:pPr>
      <w:r w:rsidRPr="00E36C3A">
        <w:rPr>
          <w:rFonts w:asciiTheme="minorHAnsi" w:eastAsiaTheme="minorHAnsi" w:hAnsiTheme="minorHAnsi" w:cstheme="minorHAnsi"/>
          <w:b/>
          <w:bCs/>
          <w:noProof/>
          <w:sz w:val="14"/>
          <w:szCs w:val="22"/>
          <w:lang w:val="nl-BE"/>
          <w14:scene3d>
            <w14:camera w14:prst="orthographicFront"/>
            <w14:lightRig w14:rig="threePt" w14:dir="t">
              <w14:rot w14:lat="0" w14:lon="0" w14:rev="0"/>
            </w14:lightRig>
          </w14:scene3d>
        </w:rPr>
        <w:t>12.5.</w:t>
      </w:r>
      <w:r w:rsidRPr="00E36C3A">
        <w:rPr>
          <w:rFonts w:asciiTheme="minorHAnsi" w:eastAsiaTheme="minorHAnsi" w:hAnsiTheme="minorHAnsi" w:cstheme="minorHAnsi"/>
          <w:b/>
          <w:bCs/>
          <w:sz w:val="14"/>
          <w:szCs w:val="22"/>
          <w:lang w:val="nl-BE"/>
          <w14:scene3d>
            <w14:camera w14:prst="orthographicFront"/>
            <w14:lightRig w14:rig="threePt" w14:dir="t">
              <w14:rot w14:lat="0" w14:lon="0" w14:rev="0"/>
            </w14:lightRig>
          </w14:scene3d>
        </w:rPr>
        <w:tab/>
      </w:r>
      <w:r w:rsidRPr="00E36C3A">
        <w:rPr>
          <w:rFonts w:asciiTheme="minorHAnsi" w:eastAsiaTheme="minorHAnsi" w:hAnsiTheme="minorHAnsi" w:cstheme="minorHAnsi"/>
          <w:b/>
          <w:bCs/>
          <w:noProof/>
          <w:sz w:val="14"/>
          <w:szCs w:val="22"/>
          <w:lang w:val="nl-BE"/>
          <w14:scene3d>
            <w14:camera w14:prst="orthographicFront"/>
            <w14:lightRig w14:rig="threePt" w14:dir="t">
              <w14:rot w14:lat="0" w14:lon="0" w14:rev="0"/>
            </w14:lightRig>
          </w14:scene3d>
        </w:rPr>
        <w:t>Betalingstermijn</w:t>
      </w:r>
    </w:p>
    <w:p w14:paraId="5134EF46" w14:textId="5A6E433E" w:rsidR="008F61D1" w:rsidRPr="00E36C3A" w:rsidRDefault="008F61D1" w:rsidP="008A2CEB">
      <w:pPr>
        <w:pStyle w:val="Inhopg2"/>
        <w:tabs>
          <w:tab w:val="left" w:pos="800"/>
          <w:tab w:val="right" w:leader="dot" w:pos="9016"/>
        </w:tabs>
        <w:autoSpaceDE/>
        <w:autoSpaceDN/>
        <w:adjustRightInd/>
        <w:spacing w:before="120" w:after="0"/>
        <w:rPr>
          <w:rStyle w:val="Hyperlink"/>
          <w:rFonts w:asciiTheme="minorHAnsi" w:eastAsiaTheme="minorHAnsi" w:hAnsiTheme="minorHAnsi" w:cstheme="minorHAnsi"/>
          <w:color w:val="000000" w:themeColor="text1"/>
          <w:sz w:val="14"/>
          <w:szCs w:val="22"/>
          <w:lang w:val="nl-BE"/>
          <w14:scene3d>
            <w14:camera w14:prst="orthographicFront"/>
            <w14:lightRig w14:rig="threePt" w14:dir="t">
              <w14:rot w14:lat="0" w14:lon="0" w14:rev="0"/>
            </w14:lightRig>
          </w14:scene3d>
        </w:rPr>
      </w:pPr>
      <w:r w:rsidRPr="00E36C3A">
        <w:rPr>
          <w:rFonts w:asciiTheme="minorHAnsi" w:eastAsiaTheme="minorHAnsi" w:hAnsiTheme="minorHAnsi" w:cstheme="minorHAnsi"/>
          <w:b/>
          <w:bCs/>
          <w:noProof/>
          <w:sz w:val="14"/>
          <w:szCs w:val="22"/>
          <w:lang w:val="nl-BE"/>
          <w14:scene3d>
            <w14:camera w14:prst="orthographicFront"/>
            <w14:lightRig w14:rig="threePt" w14:dir="t">
              <w14:rot w14:lat="0" w14:lon="0" w14:rev="0"/>
            </w14:lightRig>
          </w14:scene3d>
        </w:rPr>
        <w:t>12.6.</w:t>
      </w:r>
      <w:r w:rsidRPr="00E36C3A">
        <w:rPr>
          <w:rFonts w:asciiTheme="minorHAnsi" w:eastAsiaTheme="minorHAnsi" w:hAnsiTheme="minorHAnsi" w:cstheme="minorHAnsi"/>
          <w:b/>
          <w:bCs/>
          <w:sz w:val="14"/>
          <w:szCs w:val="22"/>
          <w:lang w:val="nl-BE"/>
          <w14:scene3d>
            <w14:camera w14:prst="orthographicFront"/>
            <w14:lightRig w14:rig="threePt" w14:dir="t">
              <w14:rot w14:lat="0" w14:lon="0" w14:rev="0"/>
            </w14:lightRig>
          </w14:scene3d>
        </w:rPr>
        <w:tab/>
      </w:r>
      <w:r w:rsidRPr="00E36C3A">
        <w:rPr>
          <w:rFonts w:asciiTheme="minorHAnsi" w:eastAsiaTheme="minorHAnsi" w:hAnsiTheme="minorHAnsi" w:cstheme="minorHAnsi"/>
          <w:b/>
          <w:bCs/>
          <w:noProof/>
          <w:sz w:val="14"/>
          <w:szCs w:val="22"/>
          <w:lang w:val="nl-BE"/>
          <w14:scene3d>
            <w14:camera w14:prst="orthographicFront"/>
            <w14:lightRig w14:rig="threePt" w14:dir="t">
              <w14:rot w14:lat="0" w14:lon="0" w14:rev="0"/>
            </w14:lightRig>
          </w14:scene3d>
        </w:rPr>
        <w:t>Verwijlintresten</w:t>
      </w:r>
    </w:p>
    <w:p w14:paraId="76CC2BEA" w14:textId="3417340D" w:rsidR="008F61D1" w:rsidRPr="00E36C3A" w:rsidRDefault="008F61D1" w:rsidP="008A2CEB">
      <w:pPr>
        <w:pStyle w:val="Inhopg2"/>
        <w:tabs>
          <w:tab w:val="left" w:pos="800"/>
          <w:tab w:val="right" w:leader="dot" w:pos="9016"/>
        </w:tabs>
        <w:autoSpaceDE/>
        <w:autoSpaceDN/>
        <w:adjustRightInd/>
        <w:spacing w:before="120" w:after="0"/>
        <w:rPr>
          <w:rStyle w:val="Hyperlink"/>
          <w:rFonts w:asciiTheme="minorHAnsi" w:eastAsiaTheme="minorHAnsi" w:hAnsiTheme="minorHAnsi" w:cstheme="minorHAnsi"/>
          <w:color w:val="000000" w:themeColor="text1"/>
          <w:sz w:val="14"/>
          <w:szCs w:val="22"/>
          <w:lang w:val="nl-BE"/>
          <w14:scene3d>
            <w14:camera w14:prst="orthographicFront"/>
            <w14:lightRig w14:rig="threePt" w14:dir="t">
              <w14:rot w14:lat="0" w14:lon="0" w14:rev="0"/>
            </w14:lightRig>
          </w14:scene3d>
        </w:rPr>
      </w:pPr>
      <w:r w:rsidRPr="00E36C3A">
        <w:rPr>
          <w:rFonts w:asciiTheme="minorHAnsi" w:eastAsiaTheme="minorHAnsi" w:hAnsiTheme="minorHAnsi" w:cstheme="minorHAnsi"/>
          <w:b/>
          <w:bCs/>
          <w:noProof/>
          <w:sz w:val="14"/>
          <w:szCs w:val="22"/>
          <w:lang w:val="nl-BE"/>
          <w14:scene3d>
            <w14:camera w14:prst="orthographicFront"/>
            <w14:lightRig w14:rig="threePt" w14:dir="t">
              <w14:rot w14:lat="0" w14:lon="0" w14:rev="0"/>
            </w14:lightRig>
          </w14:scene3d>
        </w:rPr>
        <w:t>12.7.</w:t>
      </w:r>
      <w:r w:rsidRPr="00E36C3A">
        <w:rPr>
          <w:rFonts w:asciiTheme="minorHAnsi" w:eastAsiaTheme="minorHAnsi" w:hAnsiTheme="minorHAnsi" w:cstheme="minorHAnsi"/>
          <w:b/>
          <w:bCs/>
          <w:sz w:val="14"/>
          <w:szCs w:val="22"/>
          <w:lang w:val="nl-BE"/>
          <w14:scene3d>
            <w14:camera w14:prst="orthographicFront"/>
            <w14:lightRig w14:rig="threePt" w14:dir="t">
              <w14:rot w14:lat="0" w14:lon="0" w14:rev="0"/>
            </w14:lightRig>
          </w14:scene3d>
        </w:rPr>
        <w:tab/>
      </w:r>
      <w:r w:rsidRPr="00E36C3A">
        <w:rPr>
          <w:rFonts w:asciiTheme="minorHAnsi" w:eastAsiaTheme="minorHAnsi" w:hAnsiTheme="minorHAnsi" w:cstheme="minorHAnsi"/>
          <w:b/>
          <w:bCs/>
          <w:noProof/>
          <w:sz w:val="14"/>
          <w:szCs w:val="22"/>
          <w:lang w:val="nl-BE"/>
          <w14:scene3d>
            <w14:camera w14:prst="orthographicFront"/>
            <w14:lightRig w14:rig="threePt" w14:dir="t">
              <w14:rot w14:lat="0" w14:lon="0" w14:rev="0"/>
            </w14:lightRig>
          </w14:scene3d>
        </w:rPr>
        <w:t>Laattijdige betaling en buitendienststelling van de Aansluiting</w:t>
      </w:r>
    </w:p>
    <w:p w14:paraId="11BDA7E5" w14:textId="586245D3" w:rsidR="008F61D1" w:rsidRPr="00E36C3A" w:rsidRDefault="008F61D1" w:rsidP="008A2CEB">
      <w:pPr>
        <w:pStyle w:val="Inhopg2"/>
        <w:tabs>
          <w:tab w:val="left" w:pos="800"/>
          <w:tab w:val="right" w:leader="dot" w:pos="9016"/>
        </w:tabs>
        <w:autoSpaceDE/>
        <w:autoSpaceDN/>
        <w:adjustRightInd/>
        <w:spacing w:before="120" w:after="0"/>
        <w:rPr>
          <w:rStyle w:val="Hyperlink"/>
          <w:rFonts w:asciiTheme="minorHAnsi" w:eastAsiaTheme="minorHAnsi" w:hAnsiTheme="minorHAnsi" w:cstheme="minorHAnsi"/>
          <w:color w:val="000000" w:themeColor="text1"/>
          <w:sz w:val="14"/>
          <w:szCs w:val="22"/>
          <w:lang w:val="nl-BE"/>
          <w14:scene3d>
            <w14:camera w14:prst="orthographicFront"/>
            <w14:lightRig w14:rig="threePt" w14:dir="t">
              <w14:rot w14:lat="0" w14:lon="0" w14:rev="0"/>
            </w14:lightRig>
          </w14:scene3d>
        </w:rPr>
      </w:pPr>
      <w:r w:rsidRPr="00E36C3A">
        <w:rPr>
          <w:rFonts w:asciiTheme="minorHAnsi" w:eastAsiaTheme="minorHAnsi" w:hAnsiTheme="minorHAnsi" w:cstheme="minorHAnsi"/>
          <w:b/>
          <w:bCs/>
          <w:noProof/>
          <w:sz w:val="14"/>
          <w:szCs w:val="22"/>
          <w:lang w:val="nl-BE"/>
          <w14:scene3d>
            <w14:camera w14:prst="orthographicFront"/>
            <w14:lightRig w14:rig="threePt" w14:dir="t">
              <w14:rot w14:lat="0" w14:lon="0" w14:rev="0"/>
            </w14:lightRig>
          </w14:scene3d>
        </w:rPr>
        <w:t>12.8.</w:t>
      </w:r>
      <w:r w:rsidRPr="00E36C3A">
        <w:rPr>
          <w:rFonts w:asciiTheme="minorHAnsi" w:eastAsiaTheme="minorHAnsi" w:hAnsiTheme="minorHAnsi" w:cstheme="minorHAnsi"/>
          <w:b/>
          <w:bCs/>
          <w:sz w:val="14"/>
          <w:szCs w:val="22"/>
          <w:lang w:val="nl-BE"/>
          <w14:scene3d>
            <w14:camera w14:prst="orthographicFront"/>
            <w14:lightRig w14:rig="threePt" w14:dir="t">
              <w14:rot w14:lat="0" w14:lon="0" w14:rev="0"/>
            </w14:lightRig>
          </w14:scene3d>
        </w:rPr>
        <w:tab/>
      </w:r>
      <w:r w:rsidRPr="00E36C3A">
        <w:rPr>
          <w:rFonts w:asciiTheme="minorHAnsi" w:eastAsiaTheme="minorHAnsi" w:hAnsiTheme="minorHAnsi" w:cstheme="minorHAnsi"/>
          <w:b/>
          <w:bCs/>
          <w:noProof/>
          <w:sz w:val="14"/>
          <w:szCs w:val="22"/>
          <w:lang w:val="nl-BE"/>
          <w14:scene3d>
            <w14:camera w14:prst="orthographicFront"/>
            <w14:lightRig w14:rig="threePt" w14:dir="t">
              <w14:rot w14:lat="0" w14:lon="0" w14:rev="0"/>
            </w14:lightRig>
          </w14:scene3d>
        </w:rPr>
        <w:t>De Verbetering van facturen</w:t>
      </w:r>
    </w:p>
    <w:p w14:paraId="33DEC7A5" w14:textId="79AB58DD" w:rsidR="008F61D1" w:rsidRPr="00E36C3A" w:rsidRDefault="008F61D1" w:rsidP="008A2CEB">
      <w:pPr>
        <w:pStyle w:val="Inhopg2"/>
        <w:tabs>
          <w:tab w:val="left" w:pos="800"/>
          <w:tab w:val="right" w:leader="dot" w:pos="9016"/>
        </w:tabs>
        <w:autoSpaceDE/>
        <w:autoSpaceDN/>
        <w:adjustRightInd/>
        <w:spacing w:before="120" w:after="0"/>
        <w:rPr>
          <w:rStyle w:val="Hyperlink"/>
          <w:rFonts w:asciiTheme="minorHAnsi" w:eastAsiaTheme="minorHAnsi" w:hAnsiTheme="minorHAnsi" w:cstheme="minorHAnsi"/>
          <w:color w:val="000000" w:themeColor="text1"/>
          <w:sz w:val="14"/>
          <w:szCs w:val="22"/>
          <w:lang w:val="nl-BE"/>
          <w14:scene3d>
            <w14:camera w14:prst="orthographicFront"/>
            <w14:lightRig w14:rig="threePt" w14:dir="t">
              <w14:rot w14:lat="0" w14:lon="0" w14:rev="0"/>
            </w14:lightRig>
          </w14:scene3d>
        </w:rPr>
      </w:pPr>
      <w:r w:rsidRPr="00E36C3A">
        <w:rPr>
          <w:rFonts w:asciiTheme="minorHAnsi" w:eastAsiaTheme="minorHAnsi" w:hAnsiTheme="minorHAnsi" w:cstheme="minorHAnsi"/>
          <w:b/>
          <w:bCs/>
          <w:noProof/>
          <w:sz w:val="14"/>
          <w:szCs w:val="22"/>
          <w:lang w:val="nl-BE"/>
          <w14:scene3d>
            <w14:camera w14:prst="orthographicFront"/>
            <w14:lightRig w14:rig="threePt" w14:dir="t">
              <w14:rot w14:lat="0" w14:lon="0" w14:rev="0"/>
            </w14:lightRig>
          </w14:scene3d>
        </w:rPr>
        <w:t>12.9.</w:t>
      </w:r>
      <w:r w:rsidRPr="00E36C3A">
        <w:rPr>
          <w:rFonts w:asciiTheme="minorHAnsi" w:eastAsiaTheme="minorHAnsi" w:hAnsiTheme="minorHAnsi" w:cstheme="minorHAnsi"/>
          <w:b/>
          <w:bCs/>
          <w:sz w:val="14"/>
          <w:szCs w:val="22"/>
          <w:lang w:val="nl-BE"/>
          <w14:scene3d>
            <w14:camera w14:prst="orthographicFront"/>
            <w14:lightRig w14:rig="threePt" w14:dir="t">
              <w14:rot w14:lat="0" w14:lon="0" w14:rev="0"/>
            </w14:lightRig>
          </w14:scene3d>
        </w:rPr>
        <w:tab/>
      </w:r>
      <w:r w:rsidRPr="00E36C3A">
        <w:rPr>
          <w:rFonts w:asciiTheme="minorHAnsi" w:eastAsiaTheme="minorHAnsi" w:hAnsiTheme="minorHAnsi" w:cstheme="minorHAnsi"/>
          <w:b/>
          <w:bCs/>
          <w:noProof/>
          <w:sz w:val="14"/>
          <w:szCs w:val="22"/>
          <w:lang w:val="nl-BE"/>
          <w14:scene3d>
            <w14:camera w14:prst="orthographicFront"/>
            <w14:lightRig w14:rig="threePt" w14:dir="t">
              <w14:rot w14:lat="0" w14:lon="0" w14:rev="0"/>
            </w14:lightRig>
          </w14:scene3d>
        </w:rPr>
        <w:t>Onrechtmatige afname van energie</w:t>
      </w:r>
    </w:p>
    <w:p w14:paraId="049DDB6A" w14:textId="06F32072" w:rsidR="008F61D1" w:rsidRPr="00E36C3A" w:rsidRDefault="008F61D1" w:rsidP="008A2CEB">
      <w:pPr>
        <w:pStyle w:val="Inhopg2"/>
        <w:tabs>
          <w:tab w:val="left" w:pos="800"/>
          <w:tab w:val="right" w:leader="dot" w:pos="9016"/>
        </w:tabs>
        <w:autoSpaceDE/>
        <w:autoSpaceDN/>
        <w:adjustRightInd/>
        <w:spacing w:before="120" w:after="0"/>
        <w:rPr>
          <w:rStyle w:val="Hyperlink"/>
          <w:rFonts w:asciiTheme="minorHAnsi" w:eastAsiaTheme="minorHAnsi" w:hAnsiTheme="minorHAnsi" w:cstheme="minorHAnsi"/>
          <w:color w:val="000000" w:themeColor="text1"/>
          <w:sz w:val="14"/>
          <w:szCs w:val="22"/>
          <w:lang w:val="nl-BE"/>
          <w14:scene3d>
            <w14:camera w14:prst="orthographicFront"/>
            <w14:lightRig w14:rig="threePt" w14:dir="t">
              <w14:rot w14:lat="0" w14:lon="0" w14:rev="0"/>
            </w14:lightRig>
          </w14:scene3d>
        </w:rPr>
      </w:pPr>
      <w:r w:rsidRPr="00E36C3A">
        <w:rPr>
          <w:rFonts w:asciiTheme="minorHAnsi" w:eastAsiaTheme="minorHAnsi" w:hAnsiTheme="minorHAnsi" w:cstheme="minorHAnsi"/>
          <w:b/>
          <w:bCs/>
          <w:noProof/>
          <w:sz w:val="14"/>
          <w:szCs w:val="22"/>
          <w:lang w:val="nl-BE"/>
          <w14:scene3d>
            <w14:camera w14:prst="orthographicFront"/>
            <w14:lightRig w14:rig="threePt" w14:dir="t">
              <w14:rot w14:lat="0" w14:lon="0" w14:rev="0"/>
            </w14:lightRig>
          </w14:scene3d>
        </w:rPr>
        <w:t>12.10.</w:t>
      </w:r>
      <w:r w:rsidRPr="00E36C3A">
        <w:rPr>
          <w:rFonts w:asciiTheme="minorHAnsi" w:eastAsiaTheme="minorHAnsi" w:hAnsiTheme="minorHAnsi" w:cstheme="minorHAnsi"/>
          <w:b/>
          <w:bCs/>
          <w:sz w:val="14"/>
          <w:szCs w:val="22"/>
          <w:lang w:val="nl-BE"/>
          <w14:scene3d>
            <w14:camera w14:prst="orthographicFront"/>
            <w14:lightRig w14:rig="threePt" w14:dir="t">
              <w14:rot w14:lat="0" w14:lon="0" w14:rev="0"/>
            </w14:lightRig>
          </w14:scene3d>
        </w:rPr>
        <w:tab/>
      </w:r>
      <w:r w:rsidRPr="00E36C3A">
        <w:rPr>
          <w:rFonts w:asciiTheme="minorHAnsi" w:eastAsiaTheme="minorHAnsi" w:hAnsiTheme="minorHAnsi" w:cstheme="minorHAnsi"/>
          <w:b/>
          <w:bCs/>
          <w:noProof/>
          <w:sz w:val="14"/>
          <w:szCs w:val="22"/>
          <w:lang w:val="nl-BE"/>
          <w14:scene3d>
            <w14:camera w14:prst="orthographicFront"/>
            <w14:lightRig w14:rig="threePt" w14:dir="t">
              <w14:rot w14:lat="0" w14:lon="0" w14:rev="0"/>
            </w14:lightRig>
          </w14:scene3d>
        </w:rPr>
        <w:t>Kosten buiten- en herindienststelling</w:t>
      </w:r>
    </w:p>
    <w:p w14:paraId="36F71626" w14:textId="2042696E" w:rsidR="008F61D1" w:rsidRPr="00E36C3A" w:rsidRDefault="008F61D1" w:rsidP="00A8168C">
      <w:pPr>
        <w:pStyle w:val="Inhopg1"/>
        <w:rPr>
          <w:rStyle w:val="Hyperlink"/>
          <w:color w:val="000000" w:themeColor="text1"/>
          <w:sz w:val="16"/>
          <w:lang w:val="nl-BE"/>
        </w:rPr>
      </w:pPr>
      <w:r w:rsidRPr="00E36C3A">
        <w:rPr>
          <w:sz w:val="16"/>
          <w:lang w:val="nl-BE"/>
        </w:rPr>
        <w:t>Artikel 13</w:t>
      </w:r>
      <w:r w:rsidRPr="00E36C3A">
        <w:rPr>
          <w:sz w:val="16"/>
          <w:lang w:val="nl-BE"/>
        </w:rPr>
        <w:tab/>
        <w:t>Wederzijdse informatie</w:t>
      </w:r>
    </w:p>
    <w:p w14:paraId="401982D3" w14:textId="2AB77252" w:rsidR="008F61D1" w:rsidRPr="00E36C3A" w:rsidRDefault="008F61D1" w:rsidP="00A8168C">
      <w:pPr>
        <w:pStyle w:val="Inhopg1"/>
        <w:rPr>
          <w:rStyle w:val="Hyperlink"/>
          <w:color w:val="000000" w:themeColor="text1"/>
          <w:sz w:val="16"/>
          <w:lang w:val="nl-BE"/>
        </w:rPr>
      </w:pPr>
      <w:r w:rsidRPr="00E36C3A">
        <w:rPr>
          <w:sz w:val="16"/>
          <w:lang w:val="nl-BE"/>
        </w:rPr>
        <w:t>Artikel 14</w:t>
      </w:r>
      <w:r w:rsidRPr="00E36C3A">
        <w:rPr>
          <w:sz w:val="16"/>
          <w:lang w:val="nl-BE"/>
        </w:rPr>
        <w:tab/>
        <w:t>Inbreuken</w:t>
      </w:r>
    </w:p>
    <w:p w14:paraId="2DBCBC62" w14:textId="1E5760B9" w:rsidR="008F61D1" w:rsidRPr="00E36C3A" w:rsidRDefault="008F61D1" w:rsidP="00A8168C">
      <w:pPr>
        <w:pStyle w:val="Inhopg1"/>
        <w:rPr>
          <w:rStyle w:val="Hyperlink"/>
          <w:color w:val="000000" w:themeColor="text1"/>
          <w:sz w:val="16"/>
          <w:lang w:val="nl-BE"/>
        </w:rPr>
      </w:pPr>
      <w:r w:rsidRPr="00E36C3A">
        <w:rPr>
          <w:sz w:val="16"/>
          <w:lang w:val="nl-BE"/>
        </w:rPr>
        <w:t>Artikel 15</w:t>
      </w:r>
      <w:r w:rsidRPr="00E36C3A">
        <w:rPr>
          <w:sz w:val="16"/>
          <w:lang w:val="nl-BE"/>
        </w:rPr>
        <w:tab/>
        <w:t>Geschillen en bevoegdheid</w:t>
      </w:r>
    </w:p>
    <w:p w14:paraId="3C93CC60" w14:textId="3A5AFFC7" w:rsidR="008F61D1" w:rsidRPr="00E36C3A" w:rsidRDefault="008F61D1" w:rsidP="00A8168C">
      <w:pPr>
        <w:pStyle w:val="Inhopg1"/>
        <w:rPr>
          <w:rStyle w:val="Hyperlink"/>
          <w:color w:val="000000" w:themeColor="text1"/>
          <w:sz w:val="16"/>
          <w:lang w:val="nl-BE"/>
        </w:rPr>
      </w:pPr>
      <w:r w:rsidRPr="00E36C3A">
        <w:rPr>
          <w:sz w:val="16"/>
          <w:lang w:val="nl-BE"/>
        </w:rPr>
        <w:t>Artikel 16</w:t>
      </w:r>
      <w:r w:rsidRPr="00E36C3A">
        <w:rPr>
          <w:sz w:val="16"/>
          <w:lang w:val="nl-BE"/>
        </w:rPr>
        <w:tab/>
        <w:t>Slotbepalingen</w:t>
      </w:r>
    </w:p>
    <w:p w14:paraId="0D145160" w14:textId="7AC46BEA" w:rsidR="008F61D1" w:rsidRPr="00E36C3A" w:rsidRDefault="008F61D1" w:rsidP="008A2CEB">
      <w:pPr>
        <w:pStyle w:val="Inhopg2"/>
        <w:tabs>
          <w:tab w:val="left" w:pos="800"/>
          <w:tab w:val="right" w:leader="dot" w:pos="9016"/>
        </w:tabs>
        <w:autoSpaceDE/>
        <w:autoSpaceDN/>
        <w:adjustRightInd/>
        <w:spacing w:before="120" w:after="0"/>
        <w:rPr>
          <w:rStyle w:val="Hyperlink"/>
          <w:rFonts w:asciiTheme="minorHAnsi" w:eastAsiaTheme="minorHAnsi" w:hAnsiTheme="minorHAnsi" w:cstheme="minorHAnsi"/>
          <w:color w:val="000000" w:themeColor="text1"/>
          <w:sz w:val="14"/>
          <w:szCs w:val="22"/>
          <w:lang w:val="nl-BE"/>
          <w14:scene3d>
            <w14:camera w14:prst="orthographicFront"/>
            <w14:lightRig w14:rig="threePt" w14:dir="t">
              <w14:rot w14:lat="0" w14:lon="0" w14:rev="0"/>
            </w14:lightRig>
          </w14:scene3d>
        </w:rPr>
      </w:pPr>
      <w:r w:rsidRPr="00E36C3A">
        <w:rPr>
          <w:rFonts w:asciiTheme="minorHAnsi" w:eastAsiaTheme="minorHAnsi" w:hAnsiTheme="minorHAnsi" w:cstheme="minorHAnsi"/>
          <w:b/>
          <w:bCs/>
          <w:noProof/>
          <w:sz w:val="14"/>
          <w:szCs w:val="22"/>
          <w:lang w:val="nl-BE"/>
          <w14:scene3d>
            <w14:camera w14:prst="orthographicFront"/>
            <w14:lightRig w14:rig="threePt" w14:dir="t">
              <w14:rot w14:lat="0" w14:lon="0" w14:rev="0"/>
            </w14:lightRig>
          </w14:scene3d>
        </w:rPr>
        <w:t>16.1.</w:t>
      </w:r>
      <w:r w:rsidRPr="00E36C3A">
        <w:rPr>
          <w:rFonts w:asciiTheme="minorHAnsi" w:eastAsiaTheme="minorHAnsi" w:hAnsiTheme="minorHAnsi" w:cstheme="minorHAnsi"/>
          <w:b/>
          <w:bCs/>
          <w:sz w:val="14"/>
          <w:szCs w:val="22"/>
          <w:lang w:val="nl-BE"/>
          <w14:scene3d>
            <w14:camera w14:prst="orthographicFront"/>
            <w14:lightRig w14:rig="threePt" w14:dir="t">
              <w14:rot w14:lat="0" w14:lon="0" w14:rev="0"/>
            </w14:lightRig>
          </w14:scene3d>
        </w:rPr>
        <w:tab/>
      </w:r>
      <w:r w:rsidRPr="00E36C3A">
        <w:rPr>
          <w:rFonts w:asciiTheme="minorHAnsi" w:eastAsiaTheme="minorHAnsi" w:hAnsiTheme="minorHAnsi" w:cstheme="minorHAnsi"/>
          <w:b/>
          <w:bCs/>
          <w:noProof/>
          <w:sz w:val="14"/>
          <w:szCs w:val="22"/>
          <w:lang w:val="nl-BE"/>
          <w14:scene3d>
            <w14:camera w14:prst="orthographicFront"/>
            <w14:lightRig w14:rig="threePt" w14:dir="t">
              <w14:rot w14:lat="0" w14:lon="0" w14:rev="0"/>
            </w14:lightRig>
          </w14:scene3d>
        </w:rPr>
        <w:t>Interpretatie van de gebruikte termen</w:t>
      </w:r>
    </w:p>
    <w:p w14:paraId="0E6FEAF1" w14:textId="6E5B9EB2" w:rsidR="008F61D1" w:rsidRPr="00E36C3A" w:rsidRDefault="008F61D1" w:rsidP="00B21AB7">
      <w:pPr>
        <w:pStyle w:val="Inhopg2"/>
        <w:tabs>
          <w:tab w:val="left" w:pos="800"/>
          <w:tab w:val="right" w:leader="dot" w:pos="9016"/>
        </w:tabs>
        <w:autoSpaceDE/>
        <w:autoSpaceDN/>
        <w:adjustRightInd/>
        <w:spacing w:before="120" w:after="0"/>
        <w:rPr>
          <w:rFonts w:asciiTheme="minorHAnsi" w:eastAsiaTheme="minorHAnsi" w:hAnsiTheme="minorHAnsi" w:cstheme="minorHAnsi"/>
          <w:color w:val="000000" w:themeColor="text1"/>
          <w:sz w:val="14"/>
          <w:szCs w:val="22"/>
          <w:u w:val="single"/>
          <w:lang w:val="nl-BE"/>
          <w14:scene3d>
            <w14:camera w14:prst="orthographicFront"/>
            <w14:lightRig w14:rig="threePt" w14:dir="t">
              <w14:rot w14:lat="0" w14:lon="0" w14:rev="0"/>
            </w14:lightRig>
          </w14:scene3d>
        </w:rPr>
      </w:pPr>
      <w:r w:rsidRPr="00E36C3A">
        <w:rPr>
          <w:rFonts w:asciiTheme="minorHAnsi" w:eastAsiaTheme="minorHAnsi" w:hAnsiTheme="minorHAnsi" w:cstheme="minorHAnsi"/>
          <w:b/>
          <w:bCs/>
          <w:noProof/>
          <w:sz w:val="14"/>
          <w:szCs w:val="22"/>
          <w:lang w:val="nl-BE"/>
          <w14:scene3d>
            <w14:camera w14:prst="orthographicFront"/>
            <w14:lightRig w14:rig="threePt" w14:dir="t">
              <w14:rot w14:lat="0" w14:lon="0" w14:rev="0"/>
            </w14:lightRig>
          </w14:scene3d>
        </w:rPr>
        <w:t>16.2.</w:t>
      </w:r>
      <w:r w:rsidRPr="00E36C3A">
        <w:rPr>
          <w:rFonts w:asciiTheme="minorHAnsi" w:eastAsiaTheme="minorHAnsi" w:hAnsiTheme="minorHAnsi" w:cstheme="minorHAnsi"/>
          <w:b/>
          <w:bCs/>
          <w:sz w:val="14"/>
          <w:szCs w:val="22"/>
          <w:lang w:val="nl-BE"/>
          <w14:scene3d>
            <w14:camera w14:prst="orthographicFront"/>
            <w14:lightRig w14:rig="threePt" w14:dir="t">
              <w14:rot w14:lat="0" w14:lon="0" w14:rev="0"/>
            </w14:lightRig>
          </w14:scene3d>
        </w:rPr>
        <w:tab/>
      </w:r>
      <w:r w:rsidRPr="00E36C3A">
        <w:rPr>
          <w:rFonts w:asciiTheme="minorHAnsi" w:eastAsiaTheme="minorHAnsi" w:hAnsiTheme="minorHAnsi" w:cstheme="minorHAnsi"/>
          <w:b/>
          <w:bCs/>
          <w:noProof/>
          <w:sz w:val="14"/>
          <w:szCs w:val="22"/>
          <w:lang w:val="nl-BE"/>
          <w14:scene3d>
            <w14:camera w14:prst="orthographicFront"/>
            <w14:lightRig w14:rig="threePt" w14:dir="t">
              <w14:rot w14:lat="0" w14:lon="0" w14:rev="0"/>
            </w14:lightRig>
          </w14:scene3d>
        </w:rPr>
        <w:t>Wijziging en opzegging van het Aansluitingscontract en zijn bijlagen</w:t>
      </w:r>
      <w:r w:rsidRPr="00E36C3A">
        <w:rPr>
          <w:sz w:val="12"/>
          <w:lang w:val="nl-BE"/>
        </w:rPr>
        <w:br w:type="page"/>
      </w:r>
    </w:p>
    <w:p w14:paraId="7694DDAA" w14:textId="77777777" w:rsidR="008F61D1" w:rsidRPr="00E36C3A" w:rsidRDefault="008F61D1" w:rsidP="008F61D1">
      <w:pPr>
        <w:pStyle w:val="Kop1"/>
        <w:keepLines/>
        <w:numPr>
          <w:ilvl w:val="0"/>
          <w:numId w:val="7"/>
        </w:numPr>
        <w:shd w:val="clear" w:color="auto" w:fill="D9D9D9" w:themeFill="background1" w:themeFillShade="D9"/>
        <w:autoSpaceDE/>
        <w:autoSpaceDN/>
        <w:adjustRightInd/>
        <w:spacing w:before="480" w:after="240"/>
        <w:ind w:left="1418" w:hanging="1418"/>
        <w:jc w:val="both"/>
        <w:rPr>
          <w:rFonts w:eastAsiaTheme="majorEastAsia" w:cs="Arial"/>
          <w:b/>
          <w:bCs/>
          <w:i w:val="0"/>
          <w:iCs w:val="0"/>
          <w:sz w:val="16"/>
          <w:szCs w:val="24"/>
          <w:lang w:val="nl-BE"/>
        </w:rPr>
      </w:pPr>
      <w:bookmarkStart w:id="1" w:name="_Toc422405270"/>
      <w:bookmarkStart w:id="2" w:name="_Ref423356130"/>
      <w:bookmarkStart w:id="3" w:name="_Toc425838659"/>
      <w:bookmarkStart w:id="4" w:name="_Toc466378802"/>
      <w:r w:rsidRPr="00E36C3A">
        <w:rPr>
          <w:rFonts w:eastAsiaTheme="majorEastAsia" w:cs="Arial"/>
          <w:b/>
          <w:bCs/>
          <w:i w:val="0"/>
          <w:iCs w:val="0"/>
          <w:sz w:val="16"/>
          <w:szCs w:val="24"/>
          <w:lang w:val="nl-BE"/>
        </w:rPr>
        <w:lastRenderedPageBreak/>
        <w:t>Toepassingsgebied en inhoud</w:t>
      </w:r>
      <w:bookmarkEnd w:id="1"/>
      <w:bookmarkEnd w:id="2"/>
      <w:bookmarkEnd w:id="3"/>
      <w:bookmarkEnd w:id="4"/>
    </w:p>
    <w:p w14:paraId="4808B2DA" w14:textId="77777777" w:rsidR="008F61D1" w:rsidRPr="00E36C3A" w:rsidRDefault="008F61D1" w:rsidP="008F61D1">
      <w:pPr>
        <w:rPr>
          <w:sz w:val="12"/>
          <w:lang w:val="nl-BE"/>
        </w:rPr>
      </w:pPr>
      <w:r w:rsidRPr="00E36C3A">
        <w:rPr>
          <w:sz w:val="12"/>
          <w:lang w:val="nl-BE"/>
        </w:rPr>
        <w:t xml:space="preserve">Het Aansluitingscontract bepaalt de rechten en verplichtingen tussen de Partijen inzake de Aansluiting op het Middendruknet voor klanten met een Aansluitingscapaciteit </w:t>
      </w:r>
      <w:r w:rsidRPr="00E36C3A">
        <w:rPr>
          <w:rFonts w:cs="Arial"/>
          <w:sz w:val="12"/>
          <w:lang w:val="nl-BE"/>
        </w:rPr>
        <w:t>≥</w:t>
      </w:r>
      <w:r w:rsidRPr="00E36C3A">
        <w:rPr>
          <w:sz w:val="12"/>
          <w:lang w:val="nl-BE"/>
        </w:rPr>
        <w:t xml:space="preserve"> 300 m³(n)/h voor Afname.</w:t>
      </w:r>
    </w:p>
    <w:p w14:paraId="10C224D9" w14:textId="77777777" w:rsidR="008F61D1" w:rsidRPr="00E36C3A" w:rsidRDefault="008F61D1" w:rsidP="008F61D1">
      <w:pPr>
        <w:rPr>
          <w:sz w:val="12"/>
          <w:lang w:val="nl-BE"/>
        </w:rPr>
      </w:pPr>
    </w:p>
    <w:p w14:paraId="030C4F89" w14:textId="77777777" w:rsidR="008F61D1" w:rsidRPr="00E36C3A" w:rsidRDefault="008F61D1" w:rsidP="008F61D1">
      <w:pPr>
        <w:rPr>
          <w:sz w:val="12"/>
          <w:lang w:val="nl-BE"/>
        </w:rPr>
      </w:pPr>
      <w:r w:rsidRPr="00E36C3A">
        <w:rPr>
          <w:sz w:val="12"/>
          <w:lang w:val="nl-BE"/>
        </w:rPr>
        <w:t xml:space="preserve">Onderhavige Bijlage omvat de algemene voorwaarden van het Aansluitingscontract. Deze zijn integraal van toepassing met betrekking tot de in het Aansluitingscontract genoemde Aansluiting, behoudens bijzondere afwijkingen en onverminderd de eventuele bijkomende afspraken, zoals opgenomen in het door de Partijen ondertekende contract of in enige andere Bijlage daarbij. </w:t>
      </w:r>
    </w:p>
    <w:p w14:paraId="0A53DED0" w14:textId="77777777" w:rsidR="008F61D1" w:rsidRPr="00E36C3A" w:rsidRDefault="008F61D1" w:rsidP="008F61D1">
      <w:pPr>
        <w:rPr>
          <w:sz w:val="12"/>
          <w:lang w:val="nl-BE"/>
        </w:rPr>
      </w:pPr>
    </w:p>
    <w:p w14:paraId="4E979334" w14:textId="77777777" w:rsidR="008F61D1" w:rsidRPr="00E36C3A" w:rsidRDefault="008F61D1" w:rsidP="008F61D1">
      <w:pPr>
        <w:rPr>
          <w:sz w:val="12"/>
          <w:lang w:val="nl-BE"/>
        </w:rPr>
      </w:pPr>
      <w:r w:rsidRPr="00E36C3A">
        <w:rPr>
          <w:sz w:val="12"/>
          <w:lang w:val="nl-BE"/>
        </w:rPr>
        <w:t>Het Aansluitingscontract wordt afgesloten ingevolge de bepalingen van het TRDG.</w:t>
      </w:r>
    </w:p>
    <w:p w14:paraId="27F700DC" w14:textId="77777777" w:rsidR="008F61D1" w:rsidRPr="00E36C3A" w:rsidRDefault="008F61D1" w:rsidP="008F61D1">
      <w:pPr>
        <w:rPr>
          <w:sz w:val="12"/>
          <w:lang w:val="nl-BE"/>
        </w:rPr>
      </w:pPr>
    </w:p>
    <w:p w14:paraId="49E8AD58" w14:textId="77777777" w:rsidR="008F61D1" w:rsidRPr="00E36C3A" w:rsidRDefault="008F61D1" w:rsidP="008F61D1">
      <w:pPr>
        <w:rPr>
          <w:sz w:val="12"/>
          <w:lang w:val="nl-BE"/>
        </w:rPr>
      </w:pPr>
      <w:r w:rsidRPr="00E36C3A">
        <w:rPr>
          <w:sz w:val="12"/>
          <w:lang w:val="nl-BE"/>
        </w:rPr>
        <w:t>Deze algemene voorwaarden zijn niet van toepassing ten aanzien van consumenten (waarbij “consument” gedefinieerd is in het Wetboek van economisch recht). In het geval dat een consument over een Aansluiting op het Middendruknet zou beschikken wordt een specifiek Aansluitingscontract afgesloten.</w:t>
      </w:r>
    </w:p>
    <w:p w14:paraId="7E4EF65C" w14:textId="77777777" w:rsidR="008F61D1" w:rsidRPr="00E36C3A" w:rsidRDefault="008F61D1" w:rsidP="008F61D1">
      <w:pPr>
        <w:pStyle w:val="Kop1"/>
        <w:keepLines/>
        <w:numPr>
          <w:ilvl w:val="0"/>
          <w:numId w:val="7"/>
        </w:numPr>
        <w:shd w:val="clear" w:color="auto" w:fill="D9D9D9" w:themeFill="background1" w:themeFillShade="D9"/>
        <w:autoSpaceDE/>
        <w:autoSpaceDN/>
        <w:adjustRightInd/>
        <w:spacing w:before="480" w:after="240"/>
        <w:ind w:left="1418" w:hanging="1418"/>
        <w:jc w:val="both"/>
        <w:rPr>
          <w:rFonts w:eastAsiaTheme="majorEastAsia" w:cs="Arial"/>
          <w:b/>
          <w:bCs/>
          <w:i w:val="0"/>
          <w:iCs w:val="0"/>
          <w:sz w:val="16"/>
          <w:szCs w:val="24"/>
          <w:lang w:val="nl-BE"/>
        </w:rPr>
      </w:pPr>
      <w:bookmarkStart w:id="5" w:name="_Toc422405271"/>
      <w:bookmarkStart w:id="6" w:name="_Ref442089655"/>
      <w:bookmarkStart w:id="7" w:name="_Ref442089677"/>
      <w:bookmarkStart w:id="8" w:name="_Toc425838660"/>
      <w:bookmarkStart w:id="9" w:name="_Toc466378803"/>
      <w:r w:rsidRPr="00E36C3A">
        <w:rPr>
          <w:rFonts w:eastAsiaTheme="majorEastAsia" w:cs="Arial"/>
          <w:b/>
          <w:bCs/>
          <w:i w:val="0"/>
          <w:iCs w:val="0"/>
          <w:sz w:val="16"/>
          <w:szCs w:val="24"/>
          <w:lang w:val="nl-BE"/>
        </w:rPr>
        <w:t>Terminologie</w:t>
      </w:r>
      <w:bookmarkEnd w:id="5"/>
      <w:bookmarkEnd w:id="6"/>
      <w:bookmarkEnd w:id="7"/>
      <w:bookmarkEnd w:id="8"/>
      <w:bookmarkEnd w:id="9"/>
    </w:p>
    <w:p w14:paraId="364E2F1E" w14:textId="77777777" w:rsidR="008F61D1" w:rsidRPr="00E36C3A" w:rsidRDefault="008F61D1" w:rsidP="008F61D1">
      <w:pPr>
        <w:pStyle w:val="Kop2"/>
        <w:keepNext/>
        <w:keepLines/>
        <w:numPr>
          <w:ilvl w:val="1"/>
          <w:numId w:val="7"/>
        </w:numPr>
        <w:autoSpaceDE/>
        <w:autoSpaceDN/>
        <w:adjustRightInd/>
        <w:spacing w:before="200"/>
        <w:ind w:left="567" w:hanging="567"/>
        <w:jc w:val="both"/>
        <w:rPr>
          <w:rFonts w:eastAsiaTheme="majorEastAsia" w:cs="Arial"/>
          <w:sz w:val="14"/>
          <w:szCs w:val="22"/>
          <w:lang w:val="nl-BE"/>
        </w:rPr>
      </w:pPr>
      <w:bookmarkStart w:id="10" w:name="_Toc422405272"/>
      <w:bookmarkStart w:id="11" w:name="_Toc425838661"/>
      <w:bookmarkStart w:id="12" w:name="_Toc466378804"/>
      <w:r w:rsidRPr="00E36C3A">
        <w:rPr>
          <w:rFonts w:eastAsiaTheme="majorEastAsia" w:cs="Arial"/>
          <w:sz w:val="14"/>
          <w:szCs w:val="22"/>
          <w:lang w:val="nl-BE"/>
        </w:rPr>
        <w:t>Terminologie uit relevante wetgeving en voorschriften</w:t>
      </w:r>
      <w:bookmarkEnd w:id="10"/>
      <w:bookmarkEnd w:id="11"/>
      <w:bookmarkEnd w:id="12"/>
    </w:p>
    <w:p w14:paraId="707269F0" w14:textId="77777777" w:rsidR="008F61D1" w:rsidRPr="00E36C3A" w:rsidRDefault="008F61D1" w:rsidP="008F61D1">
      <w:pPr>
        <w:rPr>
          <w:rFonts w:cs="Arial"/>
          <w:sz w:val="12"/>
          <w:lang w:val="nl-BE"/>
        </w:rPr>
      </w:pPr>
      <w:r w:rsidRPr="00E36C3A">
        <w:rPr>
          <w:rFonts w:cs="Arial"/>
          <w:sz w:val="12"/>
          <w:lang w:val="nl-BE"/>
        </w:rPr>
        <w:t>Tenzij anders bepaald in de aanvullende terminologie hebben de in het Aansluitingscontract gebruikte termen en begrippen, aangeduid met een hoofdletter, de betekenis zoals gedefinieerd in</w:t>
      </w:r>
    </w:p>
    <w:p w14:paraId="7057066F" w14:textId="77777777" w:rsidR="008F61D1" w:rsidRPr="00E36C3A" w:rsidRDefault="008F61D1" w:rsidP="008F61D1">
      <w:pPr>
        <w:rPr>
          <w:rFonts w:cs="Arial"/>
          <w:sz w:val="12"/>
          <w:lang w:val="nl-BE"/>
        </w:rPr>
      </w:pPr>
    </w:p>
    <w:p w14:paraId="559EC00B" w14:textId="77777777" w:rsidR="008F61D1" w:rsidRPr="00E36C3A" w:rsidRDefault="008F61D1" w:rsidP="008F61D1">
      <w:pPr>
        <w:pStyle w:val="Lijstalinea"/>
        <w:numPr>
          <w:ilvl w:val="0"/>
          <w:numId w:val="9"/>
        </w:numPr>
        <w:adjustRightInd/>
        <w:contextualSpacing w:val="0"/>
        <w:rPr>
          <w:sz w:val="12"/>
          <w:lang w:val="nl-BE"/>
        </w:rPr>
      </w:pPr>
      <w:r w:rsidRPr="00E36C3A">
        <w:rPr>
          <w:sz w:val="12"/>
          <w:lang w:val="nl-BE"/>
        </w:rPr>
        <w:t>het Vlaams decreet van 8 mei 2009 houdende algemene bepalingen betreffende het energiebeleid inclusief alle latere wijzigingen (Energiedecreet);</w:t>
      </w:r>
    </w:p>
    <w:p w14:paraId="463A393E" w14:textId="77777777" w:rsidR="008F61D1" w:rsidRPr="00E36C3A" w:rsidRDefault="008F61D1" w:rsidP="008F61D1">
      <w:pPr>
        <w:rPr>
          <w:rFonts w:cs="Arial"/>
          <w:sz w:val="12"/>
          <w:lang w:val="nl-BE"/>
        </w:rPr>
      </w:pPr>
    </w:p>
    <w:p w14:paraId="42B2D1CB" w14:textId="77777777" w:rsidR="008F61D1" w:rsidRPr="00E36C3A" w:rsidRDefault="008F61D1" w:rsidP="008F61D1">
      <w:pPr>
        <w:pStyle w:val="Lijstalinea"/>
        <w:numPr>
          <w:ilvl w:val="0"/>
          <w:numId w:val="9"/>
        </w:numPr>
        <w:adjustRightInd/>
        <w:contextualSpacing w:val="0"/>
        <w:rPr>
          <w:sz w:val="12"/>
          <w:lang w:val="nl-BE"/>
        </w:rPr>
      </w:pPr>
      <w:r w:rsidRPr="00E36C3A">
        <w:rPr>
          <w:sz w:val="12"/>
          <w:lang w:val="nl-BE"/>
        </w:rPr>
        <w:t>het Besluit van de Vlaamse Regering van 19 november 2010 houdende algemene bepalingen over het energiebeleid inclusief alle latere wijzigingen (Energiebesluit);</w:t>
      </w:r>
    </w:p>
    <w:p w14:paraId="61274384" w14:textId="77777777" w:rsidR="008F61D1" w:rsidRPr="00E36C3A" w:rsidRDefault="008F61D1" w:rsidP="008F61D1">
      <w:pPr>
        <w:rPr>
          <w:rFonts w:cs="Arial"/>
          <w:sz w:val="12"/>
          <w:lang w:val="nl-BE"/>
        </w:rPr>
      </w:pPr>
    </w:p>
    <w:p w14:paraId="3A5618F0" w14:textId="77777777" w:rsidR="008F61D1" w:rsidRPr="00E36C3A" w:rsidRDefault="008F61D1" w:rsidP="008F61D1">
      <w:pPr>
        <w:pStyle w:val="Lijstalinea"/>
        <w:numPr>
          <w:ilvl w:val="0"/>
          <w:numId w:val="9"/>
        </w:numPr>
        <w:adjustRightInd/>
        <w:contextualSpacing w:val="0"/>
        <w:rPr>
          <w:sz w:val="12"/>
          <w:lang w:val="nl-BE"/>
        </w:rPr>
      </w:pPr>
      <w:r w:rsidRPr="00E36C3A">
        <w:rPr>
          <w:sz w:val="12"/>
          <w:lang w:val="nl-BE"/>
        </w:rPr>
        <w:t>bijlage 1 van het Technisch Reglement Distributie Gas (TRDG) zoals vastgesteld en gepubliceerd door de Vlaamse regulator voor de Elektriciteits- en Gasmarkt, de "VREG";</w:t>
      </w:r>
    </w:p>
    <w:p w14:paraId="14077DF1" w14:textId="77777777" w:rsidR="008F61D1" w:rsidRPr="00E36C3A" w:rsidRDefault="008F61D1" w:rsidP="008F61D1">
      <w:pPr>
        <w:rPr>
          <w:rFonts w:cs="Arial"/>
          <w:sz w:val="12"/>
          <w:lang w:val="nl-BE"/>
        </w:rPr>
      </w:pPr>
    </w:p>
    <w:p w14:paraId="7E77365A" w14:textId="77777777" w:rsidR="008F61D1" w:rsidRPr="00E36C3A" w:rsidRDefault="008F61D1" w:rsidP="008F61D1">
      <w:pPr>
        <w:pStyle w:val="Lijstalinea"/>
        <w:numPr>
          <w:ilvl w:val="0"/>
          <w:numId w:val="9"/>
        </w:numPr>
        <w:adjustRightInd/>
        <w:contextualSpacing w:val="0"/>
        <w:rPr>
          <w:sz w:val="12"/>
          <w:lang w:val="nl-BE"/>
        </w:rPr>
      </w:pPr>
      <w:r w:rsidRPr="00E36C3A">
        <w:rPr>
          <w:sz w:val="12"/>
          <w:lang w:val="nl-BE"/>
        </w:rPr>
        <w:t xml:space="preserve">de </w:t>
      </w:r>
      <w:proofErr w:type="spellStart"/>
      <w:r w:rsidRPr="00E36C3A">
        <w:rPr>
          <w:sz w:val="12"/>
          <w:lang w:val="nl-BE"/>
        </w:rPr>
        <w:t>Synergrid</w:t>
      </w:r>
      <w:proofErr w:type="spellEnd"/>
      <w:r w:rsidRPr="00E36C3A">
        <w:rPr>
          <w:sz w:val="12"/>
          <w:lang w:val="nl-BE"/>
        </w:rPr>
        <w:t xml:space="preserve"> Voorschriften en Aanbevelingen (de federatie van Elektriciteits- en Gasnetbeheerders in België) gepubliceerd op de website van </w:t>
      </w:r>
      <w:proofErr w:type="spellStart"/>
      <w:r w:rsidRPr="00E36C3A">
        <w:rPr>
          <w:sz w:val="12"/>
          <w:lang w:val="nl-BE"/>
        </w:rPr>
        <w:t>Synergrid</w:t>
      </w:r>
      <w:proofErr w:type="spellEnd"/>
      <w:r w:rsidRPr="00E36C3A">
        <w:rPr>
          <w:sz w:val="12"/>
          <w:lang w:val="nl-BE"/>
        </w:rPr>
        <w:t xml:space="preserve"> (www.synergrid.be); </w:t>
      </w:r>
    </w:p>
    <w:p w14:paraId="3E6D168D" w14:textId="77777777" w:rsidR="008F61D1" w:rsidRPr="00E36C3A" w:rsidRDefault="008F61D1" w:rsidP="008F61D1">
      <w:pPr>
        <w:rPr>
          <w:rFonts w:cs="Arial"/>
          <w:sz w:val="12"/>
          <w:lang w:val="nl-BE"/>
        </w:rPr>
      </w:pPr>
    </w:p>
    <w:p w14:paraId="7A0702CD" w14:textId="77777777" w:rsidR="008F61D1" w:rsidRPr="00E36C3A" w:rsidRDefault="008F61D1" w:rsidP="008F61D1">
      <w:pPr>
        <w:pStyle w:val="Lijstalinea"/>
        <w:numPr>
          <w:ilvl w:val="0"/>
          <w:numId w:val="9"/>
        </w:numPr>
        <w:adjustRightInd/>
        <w:contextualSpacing w:val="0"/>
        <w:rPr>
          <w:sz w:val="12"/>
          <w:lang w:val="nl-BE"/>
        </w:rPr>
      </w:pPr>
      <w:r w:rsidRPr="00E36C3A">
        <w:rPr>
          <w:sz w:val="12"/>
          <w:lang w:val="nl-BE"/>
        </w:rPr>
        <w:t>het KB van 28 juni 1971 betreffende de te nemen veiligheidsmaatregelen bij de oprichting en de exploitatie van installaties voor gasdistributie door middel van leidingen.</w:t>
      </w:r>
    </w:p>
    <w:p w14:paraId="7A035BAB" w14:textId="77777777" w:rsidR="008F61D1" w:rsidRPr="00E36C3A" w:rsidRDefault="008F61D1" w:rsidP="008F61D1">
      <w:pPr>
        <w:rPr>
          <w:rFonts w:cs="Arial"/>
          <w:sz w:val="12"/>
          <w:lang w:val="nl-BE"/>
        </w:rPr>
      </w:pPr>
    </w:p>
    <w:p w14:paraId="6DE0B038" w14:textId="77777777" w:rsidR="008F61D1" w:rsidRPr="00E36C3A" w:rsidRDefault="008F61D1" w:rsidP="008F61D1">
      <w:pPr>
        <w:pStyle w:val="Kop2"/>
        <w:keepNext/>
        <w:keepLines/>
        <w:numPr>
          <w:ilvl w:val="1"/>
          <w:numId w:val="7"/>
        </w:numPr>
        <w:autoSpaceDE/>
        <w:autoSpaceDN/>
        <w:adjustRightInd/>
        <w:spacing w:before="200"/>
        <w:ind w:left="567" w:hanging="567"/>
        <w:jc w:val="both"/>
        <w:rPr>
          <w:rFonts w:eastAsiaTheme="majorEastAsia" w:cs="Arial"/>
          <w:sz w:val="14"/>
          <w:szCs w:val="22"/>
          <w:lang w:val="nl-BE"/>
        </w:rPr>
      </w:pPr>
      <w:bookmarkStart w:id="13" w:name="_Toc422405273"/>
      <w:bookmarkStart w:id="14" w:name="_Toc425838662"/>
      <w:bookmarkStart w:id="15" w:name="_Toc466378805"/>
      <w:r w:rsidRPr="00E36C3A">
        <w:rPr>
          <w:rFonts w:eastAsiaTheme="majorEastAsia" w:cs="Arial"/>
          <w:sz w:val="14"/>
          <w:szCs w:val="22"/>
          <w:lang w:val="nl-BE"/>
        </w:rPr>
        <w:t>Aanvullende terminologie</w:t>
      </w:r>
      <w:bookmarkEnd w:id="13"/>
      <w:bookmarkEnd w:id="14"/>
      <w:bookmarkEnd w:id="15"/>
    </w:p>
    <w:p w14:paraId="5FD55358" w14:textId="77777777" w:rsidR="008F61D1" w:rsidRPr="00E36C3A" w:rsidRDefault="008F61D1" w:rsidP="008F61D1">
      <w:pPr>
        <w:tabs>
          <w:tab w:val="left" w:pos="285"/>
          <w:tab w:val="center" w:pos="4320"/>
          <w:tab w:val="right" w:pos="8640"/>
        </w:tabs>
        <w:rPr>
          <w:rFonts w:cs="Arial"/>
          <w:b/>
          <w:bCs/>
          <w:sz w:val="12"/>
          <w:lang w:val="nl-BE"/>
        </w:rPr>
      </w:pPr>
      <w:r w:rsidRPr="00E36C3A">
        <w:rPr>
          <w:rFonts w:cs="Arial"/>
          <w:sz w:val="12"/>
          <w:lang w:val="nl-BE"/>
        </w:rPr>
        <w:t>Verder wordt onder de termen en begrippen opgenomen in het Aansluitingscontract en haar bijlagen verstaan:</w:t>
      </w:r>
    </w:p>
    <w:p w14:paraId="15EB52AE" w14:textId="77777777" w:rsidR="008F61D1" w:rsidRPr="00E36C3A" w:rsidRDefault="008F61D1" w:rsidP="008F61D1">
      <w:pPr>
        <w:rPr>
          <w:rFonts w:cs="Arial"/>
          <w:sz w:val="12"/>
          <w:lang w:val="nl-BE"/>
        </w:rPr>
      </w:pPr>
    </w:p>
    <w:p w14:paraId="7FCF8C6A" w14:textId="77777777" w:rsidR="008F61D1" w:rsidRPr="00E36C3A" w:rsidRDefault="008F61D1" w:rsidP="008F61D1">
      <w:pPr>
        <w:pStyle w:val="Lijstalinea"/>
        <w:numPr>
          <w:ilvl w:val="0"/>
          <w:numId w:val="6"/>
        </w:numPr>
        <w:tabs>
          <w:tab w:val="center" w:pos="4320"/>
          <w:tab w:val="right" w:pos="8640"/>
        </w:tabs>
        <w:adjustRightInd/>
        <w:spacing w:after="360"/>
        <w:ind w:left="850" w:hanging="425"/>
        <w:contextualSpacing w:val="0"/>
        <w:jc w:val="both"/>
        <w:rPr>
          <w:sz w:val="12"/>
          <w:lang w:val="nl-BE"/>
        </w:rPr>
      </w:pPr>
      <w:r w:rsidRPr="00E36C3A">
        <w:rPr>
          <w:b/>
          <w:sz w:val="12"/>
          <w:lang w:val="nl-BE"/>
        </w:rPr>
        <w:t xml:space="preserve">DNB: </w:t>
      </w:r>
      <w:r w:rsidRPr="00E36C3A">
        <w:rPr>
          <w:sz w:val="12"/>
          <w:lang w:val="nl-BE"/>
        </w:rPr>
        <w:t>Netbeheerder conform de definitie opgenomen in het TRDG, hier de aardgasdistributienetbeheerder.</w:t>
      </w:r>
    </w:p>
    <w:p w14:paraId="584AA8FB" w14:textId="77777777" w:rsidR="008F61D1" w:rsidRPr="00E36C3A" w:rsidRDefault="008F61D1" w:rsidP="008F61D1">
      <w:pPr>
        <w:pStyle w:val="Lijstalinea"/>
        <w:numPr>
          <w:ilvl w:val="0"/>
          <w:numId w:val="6"/>
        </w:numPr>
        <w:tabs>
          <w:tab w:val="center" w:pos="4320"/>
          <w:tab w:val="right" w:pos="8640"/>
        </w:tabs>
        <w:adjustRightInd/>
        <w:spacing w:after="360"/>
        <w:ind w:left="850" w:hanging="425"/>
        <w:contextualSpacing w:val="0"/>
        <w:jc w:val="both"/>
        <w:rPr>
          <w:b/>
          <w:sz w:val="12"/>
          <w:lang w:val="nl-BE"/>
        </w:rPr>
      </w:pPr>
      <w:r w:rsidRPr="00E36C3A">
        <w:rPr>
          <w:b/>
          <w:sz w:val="12"/>
          <w:lang w:val="nl-BE"/>
        </w:rPr>
        <w:t xml:space="preserve">DNG: </w:t>
      </w:r>
      <w:r w:rsidRPr="00E36C3A">
        <w:rPr>
          <w:sz w:val="12"/>
          <w:lang w:val="nl-BE"/>
        </w:rPr>
        <w:t>Aardgasdistributienetgebruiker conform de definitie opgenomen in het TRDG.</w:t>
      </w:r>
    </w:p>
    <w:p w14:paraId="4341835E" w14:textId="77777777" w:rsidR="008F61D1" w:rsidRPr="00E36C3A" w:rsidRDefault="008F61D1" w:rsidP="008F61D1">
      <w:pPr>
        <w:pStyle w:val="Lijstalinea"/>
        <w:numPr>
          <w:ilvl w:val="0"/>
          <w:numId w:val="6"/>
        </w:numPr>
        <w:tabs>
          <w:tab w:val="center" w:pos="4320"/>
          <w:tab w:val="right" w:pos="8640"/>
        </w:tabs>
        <w:adjustRightInd/>
        <w:spacing w:after="360"/>
        <w:ind w:left="850" w:hanging="425"/>
        <w:contextualSpacing w:val="0"/>
        <w:jc w:val="both"/>
        <w:rPr>
          <w:sz w:val="12"/>
          <w:lang w:val="nl-BE"/>
        </w:rPr>
      </w:pPr>
      <w:r w:rsidRPr="00E36C3A">
        <w:rPr>
          <w:b/>
          <w:sz w:val="12"/>
          <w:lang w:val="nl-BE"/>
        </w:rPr>
        <w:t>Eigenaar:</w:t>
      </w:r>
      <w:r w:rsidRPr="00E36C3A">
        <w:rPr>
          <w:sz w:val="12"/>
          <w:lang w:val="nl-BE"/>
        </w:rPr>
        <w:t xml:space="preserve"> Elke persoon die geniet van een recht van eigendom, opstal of elk ander zakelijk recht op een Vastgoed dat over een aansluiting beschikt of de installatie waarop de Aansluiting betrekking heeft.</w:t>
      </w:r>
    </w:p>
    <w:p w14:paraId="4359935A" w14:textId="77777777" w:rsidR="008F61D1" w:rsidRPr="00E36C3A" w:rsidRDefault="008F61D1" w:rsidP="008F61D1">
      <w:pPr>
        <w:pStyle w:val="Lijstalinea"/>
        <w:numPr>
          <w:ilvl w:val="0"/>
          <w:numId w:val="6"/>
        </w:numPr>
        <w:tabs>
          <w:tab w:val="center" w:pos="4320"/>
          <w:tab w:val="right" w:pos="8640"/>
        </w:tabs>
        <w:adjustRightInd/>
        <w:spacing w:after="360"/>
        <w:ind w:left="850" w:hanging="425"/>
        <w:contextualSpacing w:val="0"/>
        <w:jc w:val="both"/>
        <w:rPr>
          <w:sz w:val="12"/>
          <w:lang w:val="nl-BE"/>
        </w:rPr>
      </w:pPr>
      <w:r w:rsidRPr="00E36C3A">
        <w:rPr>
          <w:b/>
          <w:sz w:val="12"/>
          <w:lang w:val="nl-BE"/>
        </w:rPr>
        <w:t xml:space="preserve">Erkend controleorganisme: </w:t>
      </w:r>
      <w:r w:rsidRPr="00E36C3A">
        <w:rPr>
          <w:sz w:val="12"/>
          <w:lang w:val="nl-BE"/>
        </w:rPr>
        <w:t xml:space="preserve">Een door de FOD economie, dienst energie en veiligheid  aanvaard controleorganisme geaccrediteerd voor de controles van </w:t>
      </w:r>
      <w:proofErr w:type="spellStart"/>
      <w:r w:rsidRPr="00E36C3A">
        <w:rPr>
          <w:sz w:val="12"/>
          <w:lang w:val="nl-BE"/>
        </w:rPr>
        <w:t>binneninstallaties</w:t>
      </w:r>
      <w:proofErr w:type="spellEnd"/>
      <w:r w:rsidRPr="00E36C3A">
        <w:rPr>
          <w:sz w:val="12"/>
          <w:lang w:val="nl-BE"/>
        </w:rPr>
        <w:t xml:space="preserve"> gas </w:t>
      </w:r>
    </w:p>
    <w:p w14:paraId="5E76B43E" w14:textId="77777777" w:rsidR="008F61D1" w:rsidRPr="00E36C3A" w:rsidRDefault="008F61D1" w:rsidP="008F61D1">
      <w:pPr>
        <w:pStyle w:val="Lijstalinea"/>
        <w:numPr>
          <w:ilvl w:val="0"/>
          <w:numId w:val="6"/>
        </w:numPr>
        <w:tabs>
          <w:tab w:val="center" w:pos="4320"/>
          <w:tab w:val="right" w:pos="8640"/>
        </w:tabs>
        <w:adjustRightInd/>
        <w:spacing w:after="360"/>
        <w:ind w:left="850" w:hanging="425"/>
        <w:contextualSpacing w:val="0"/>
        <w:jc w:val="both"/>
        <w:rPr>
          <w:sz w:val="12"/>
          <w:lang w:val="nl-BE"/>
        </w:rPr>
      </w:pPr>
      <w:r w:rsidRPr="00E36C3A">
        <w:rPr>
          <w:b/>
          <w:sz w:val="12"/>
          <w:lang w:val="nl-BE"/>
        </w:rPr>
        <w:t>Gehabiliteerd installateur:</w:t>
      </w:r>
      <w:r w:rsidRPr="00E36C3A">
        <w:rPr>
          <w:sz w:val="12"/>
          <w:lang w:val="nl-BE"/>
        </w:rPr>
        <w:t xml:space="preserve"> Een installateur die gehabiliteerd werd volgens het reglement opgesteld door de Raad van Habilitatie, samengesteld door vertegenwoordigers van de Belgische beroepsverenigingen die de installateurs voor de aardgasinstallaties verenigen, door het KVBG en door de federale Ministeries en Staatssecretariaten die bevoegd zijn voor de energie en voor de bescherming van de verbruikers.</w:t>
      </w:r>
    </w:p>
    <w:p w14:paraId="0AED927B" w14:textId="77777777" w:rsidR="008F61D1" w:rsidRPr="00E36C3A" w:rsidRDefault="008F61D1" w:rsidP="008F61D1">
      <w:pPr>
        <w:pStyle w:val="Lijstalinea"/>
        <w:numPr>
          <w:ilvl w:val="0"/>
          <w:numId w:val="6"/>
        </w:numPr>
        <w:tabs>
          <w:tab w:val="center" w:pos="4320"/>
          <w:tab w:val="right" w:pos="8640"/>
        </w:tabs>
        <w:adjustRightInd/>
        <w:spacing w:after="360"/>
        <w:ind w:left="850" w:hanging="425"/>
        <w:contextualSpacing w:val="0"/>
        <w:jc w:val="both"/>
        <w:rPr>
          <w:sz w:val="12"/>
          <w:lang w:val="nl-BE"/>
        </w:rPr>
      </w:pPr>
      <w:r w:rsidRPr="00E36C3A">
        <w:rPr>
          <w:b/>
          <w:sz w:val="12"/>
          <w:lang w:val="nl-BE"/>
        </w:rPr>
        <w:t>Klantencabine:</w:t>
      </w:r>
      <w:r w:rsidRPr="00E36C3A">
        <w:rPr>
          <w:sz w:val="12"/>
          <w:lang w:val="nl-BE"/>
        </w:rPr>
        <w:t xml:space="preserve"> Cabine of lokaal waar het net van de DNB wordt verbonden met de installaties van de DNG. </w:t>
      </w:r>
    </w:p>
    <w:p w14:paraId="571937FF" w14:textId="77777777" w:rsidR="008F61D1" w:rsidRPr="00E36C3A" w:rsidRDefault="008F61D1" w:rsidP="008F61D1">
      <w:pPr>
        <w:pStyle w:val="Lijstalinea"/>
        <w:numPr>
          <w:ilvl w:val="0"/>
          <w:numId w:val="6"/>
        </w:numPr>
        <w:tabs>
          <w:tab w:val="center" w:pos="4320"/>
          <w:tab w:val="right" w:pos="8640"/>
        </w:tabs>
        <w:adjustRightInd/>
        <w:spacing w:after="360"/>
        <w:ind w:left="850" w:hanging="425"/>
        <w:contextualSpacing w:val="0"/>
        <w:jc w:val="both"/>
        <w:rPr>
          <w:sz w:val="12"/>
          <w:lang w:val="nl-BE"/>
        </w:rPr>
      </w:pPr>
      <w:r w:rsidRPr="00E36C3A">
        <w:rPr>
          <w:b/>
          <w:sz w:val="12"/>
          <w:lang w:val="nl-BE"/>
        </w:rPr>
        <w:t>Kwaliteit van het gas:</w:t>
      </w:r>
      <w:r w:rsidRPr="00E36C3A">
        <w:rPr>
          <w:sz w:val="12"/>
          <w:lang w:val="nl-BE"/>
        </w:rPr>
        <w:t xml:space="preserve"> Samenstelling van het gas conform de specificaties van de vervoeronderneming. </w:t>
      </w:r>
    </w:p>
    <w:p w14:paraId="7D861E21" w14:textId="77777777" w:rsidR="008F61D1" w:rsidRPr="00E36C3A" w:rsidRDefault="008F61D1" w:rsidP="008F61D1">
      <w:pPr>
        <w:pStyle w:val="Lijstalinea"/>
        <w:numPr>
          <w:ilvl w:val="0"/>
          <w:numId w:val="6"/>
        </w:numPr>
        <w:tabs>
          <w:tab w:val="center" w:pos="4320"/>
          <w:tab w:val="right" w:pos="8640"/>
        </w:tabs>
        <w:adjustRightInd/>
        <w:spacing w:after="360"/>
        <w:ind w:left="850" w:hanging="425"/>
        <w:contextualSpacing w:val="0"/>
        <w:jc w:val="both"/>
        <w:rPr>
          <w:b/>
          <w:sz w:val="12"/>
          <w:lang w:val="nl-BE"/>
        </w:rPr>
      </w:pPr>
      <w:r w:rsidRPr="00E36C3A">
        <w:rPr>
          <w:b/>
          <w:sz w:val="12"/>
          <w:lang w:val="nl-BE"/>
        </w:rPr>
        <w:t xml:space="preserve">LD: </w:t>
      </w:r>
      <w:r w:rsidRPr="00E36C3A">
        <w:rPr>
          <w:sz w:val="12"/>
          <w:lang w:val="nl-BE"/>
        </w:rPr>
        <w:t>Lagedruk, conform de definitie van artikel 1, °8 van het KB van 28 juni 1971 betreffende de te nemen veiligheidsmaatregelen bij de oprichting en de exploitatie van installaties voor gasdistributie door middel van leidingen</w:t>
      </w:r>
    </w:p>
    <w:p w14:paraId="1D3ED8CB" w14:textId="77777777" w:rsidR="008F61D1" w:rsidRPr="00E36C3A" w:rsidRDefault="008F61D1" w:rsidP="008F61D1">
      <w:pPr>
        <w:pStyle w:val="Lijstalinea"/>
        <w:numPr>
          <w:ilvl w:val="0"/>
          <w:numId w:val="6"/>
        </w:numPr>
        <w:tabs>
          <w:tab w:val="center" w:pos="4320"/>
          <w:tab w:val="right" w:pos="8640"/>
        </w:tabs>
        <w:adjustRightInd/>
        <w:spacing w:after="360"/>
        <w:ind w:left="850" w:hanging="425"/>
        <w:contextualSpacing w:val="0"/>
        <w:jc w:val="both"/>
        <w:rPr>
          <w:b/>
          <w:sz w:val="12"/>
          <w:lang w:val="nl-BE"/>
        </w:rPr>
      </w:pPr>
      <w:r w:rsidRPr="00E36C3A">
        <w:rPr>
          <w:b/>
          <w:sz w:val="12"/>
          <w:lang w:val="nl-BE"/>
        </w:rPr>
        <w:t xml:space="preserve">MD: </w:t>
      </w:r>
      <w:r w:rsidRPr="00E36C3A">
        <w:rPr>
          <w:sz w:val="12"/>
          <w:lang w:val="nl-BE"/>
        </w:rPr>
        <w:t>Middendruk, conform de definitie van artikel 1, °8 van het KB van 28 juni 1971 betreffende de te nemen veiligheidsmaatregelen bij de oprichting en de exploitatie van installaties voor gasdistributie door middel van leidingen</w:t>
      </w:r>
    </w:p>
    <w:p w14:paraId="0F0FA084" w14:textId="77777777" w:rsidR="008F61D1" w:rsidRPr="00E36C3A" w:rsidRDefault="008F61D1" w:rsidP="008F61D1">
      <w:pPr>
        <w:pStyle w:val="Lijstalinea"/>
        <w:numPr>
          <w:ilvl w:val="0"/>
          <w:numId w:val="6"/>
        </w:numPr>
        <w:tabs>
          <w:tab w:val="center" w:pos="4320"/>
          <w:tab w:val="right" w:pos="8640"/>
        </w:tabs>
        <w:adjustRightInd/>
        <w:spacing w:after="360"/>
        <w:ind w:left="850" w:hanging="425"/>
        <w:contextualSpacing w:val="0"/>
        <w:jc w:val="both"/>
        <w:rPr>
          <w:b/>
          <w:sz w:val="12"/>
          <w:lang w:val="nl-BE"/>
        </w:rPr>
      </w:pPr>
      <w:r w:rsidRPr="00E36C3A">
        <w:rPr>
          <w:b/>
          <w:sz w:val="12"/>
          <w:lang w:val="nl-BE"/>
        </w:rPr>
        <w:t xml:space="preserve">Modaliteiten van onderbreekbaarheid: </w:t>
      </w:r>
      <w:r w:rsidRPr="00E36C3A">
        <w:rPr>
          <w:sz w:val="12"/>
          <w:lang w:val="nl-BE"/>
        </w:rPr>
        <w:t xml:space="preserve">De bepalingen verbonden aan de daadwerkelijke voedingsonderbreking van de contractueel onderbreekbare Aansluitingscapaciteit. </w:t>
      </w:r>
    </w:p>
    <w:p w14:paraId="658DA757" w14:textId="77777777" w:rsidR="008F61D1" w:rsidRPr="00E36C3A" w:rsidRDefault="008F61D1" w:rsidP="008F61D1">
      <w:pPr>
        <w:pStyle w:val="Lijstalinea"/>
        <w:numPr>
          <w:ilvl w:val="0"/>
          <w:numId w:val="6"/>
        </w:numPr>
        <w:tabs>
          <w:tab w:val="center" w:pos="4320"/>
          <w:tab w:val="right" w:pos="8640"/>
        </w:tabs>
        <w:adjustRightInd/>
        <w:spacing w:after="360"/>
        <w:ind w:left="850" w:hanging="425"/>
        <w:contextualSpacing w:val="0"/>
        <w:jc w:val="both"/>
        <w:rPr>
          <w:sz w:val="12"/>
        </w:rPr>
      </w:pPr>
      <w:proofErr w:type="spellStart"/>
      <w:r w:rsidRPr="00E36C3A">
        <w:rPr>
          <w:b/>
          <w:sz w:val="12"/>
        </w:rPr>
        <w:t>Partij</w:t>
      </w:r>
      <w:proofErr w:type="spellEnd"/>
      <w:r w:rsidRPr="00E36C3A">
        <w:rPr>
          <w:b/>
          <w:sz w:val="12"/>
        </w:rPr>
        <w:t xml:space="preserve">: </w:t>
      </w:r>
      <w:proofErr w:type="spellStart"/>
      <w:r w:rsidRPr="00E36C3A">
        <w:rPr>
          <w:sz w:val="12"/>
        </w:rPr>
        <w:t>Distributienetgebruiker</w:t>
      </w:r>
      <w:proofErr w:type="spellEnd"/>
      <w:r w:rsidRPr="00E36C3A">
        <w:rPr>
          <w:sz w:val="12"/>
        </w:rPr>
        <w:t xml:space="preserve"> of </w:t>
      </w:r>
      <w:proofErr w:type="spellStart"/>
      <w:r w:rsidRPr="00E36C3A">
        <w:rPr>
          <w:sz w:val="12"/>
        </w:rPr>
        <w:t>Distributienetbeheerder</w:t>
      </w:r>
      <w:proofErr w:type="spellEnd"/>
      <w:r w:rsidRPr="00E36C3A">
        <w:rPr>
          <w:sz w:val="12"/>
        </w:rPr>
        <w:t xml:space="preserve"> </w:t>
      </w:r>
    </w:p>
    <w:p w14:paraId="0659A813" w14:textId="77777777" w:rsidR="008F61D1" w:rsidRPr="00E36C3A" w:rsidRDefault="008F61D1" w:rsidP="008F61D1">
      <w:pPr>
        <w:pStyle w:val="Lijstalinea"/>
        <w:numPr>
          <w:ilvl w:val="0"/>
          <w:numId w:val="6"/>
        </w:numPr>
        <w:tabs>
          <w:tab w:val="center" w:pos="4320"/>
          <w:tab w:val="right" w:pos="8640"/>
        </w:tabs>
        <w:adjustRightInd/>
        <w:spacing w:after="360"/>
        <w:ind w:left="850" w:hanging="425"/>
        <w:contextualSpacing w:val="0"/>
        <w:jc w:val="both"/>
        <w:rPr>
          <w:sz w:val="12"/>
        </w:rPr>
      </w:pPr>
      <w:proofErr w:type="spellStart"/>
      <w:r w:rsidRPr="00E36C3A">
        <w:rPr>
          <w:b/>
          <w:sz w:val="12"/>
        </w:rPr>
        <w:t>Partijen</w:t>
      </w:r>
      <w:proofErr w:type="spellEnd"/>
      <w:r w:rsidRPr="00E36C3A">
        <w:rPr>
          <w:b/>
          <w:sz w:val="12"/>
        </w:rPr>
        <w:t>:</w:t>
      </w:r>
      <w:r w:rsidRPr="00E36C3A">
        <w:rPr>
          <w:sz w:val="12"/>
        </w:rPr>
        <w:t xml:space="preserve"> </w:t>
      </w:r>
      <w:proofErr w:type="spellStart"/>
      <w:r w:rsidRPr="00E36C3A">
        <w:rPr>
          <w:sz w:val="12"/>
        </w:rPr>
        <w:t>Distributienetgebruiker</w:t>
      </w:r>
      <w:proofErr w:type="spellEnd"/>
      <w:r w:rsidRPr="00E36C3A">
        <w:rPr>
          <w:sz w:val="12"/>
        </w:rPr>
        <w:t xml:space="preserve"> en </w:t>
      </w:r>
      <w:proofErr w:type="spellStart"/>
      <w:r w:rsidRPr="00E36C3A">
        <w:rPr>
          <w:sz w:val="12"/>
        </w:rPr>
        <w:t>Distributienetbeheerder</w:t>
      </w:r>
      <w:proofErr w:type="spellEnd"/>
      <w:r w:rsidRPr="00E36C3A">
        <w:rPr>
          <w:sz w:val="12"/>
        </w:rPr>
        <w:t xml:space="preserve"> </w:t>
      </w:r>
    </w:p>
    <w:p w14:paraId="389190DB" w14:textId="77777777" w:rsidR="008F61D1" w:rsidRPr="00E36C3A" w:rsidRDefault="008F61D1" w:rsidP="008F61D1">
      <w:pPr>
        <w:pStyle w:val="Lijstalinea"/>
        <w:numPr>
          <w:ilvl w:val="0"/>
          <w:numId w:val="6"/>
        </w:numPr>
        <w:tabs>
          <w:tab w:val="center" w:pos="4320"/>
          <w:tab w:val="right" w:pos="8640"/>
        </w:tabs>
        <w:adjustRightInd/>
        <w:spacing w:after="360"/>
        <w:ind w:left="850" w:hanging="425"/>
        <w:contextualSpacing w:val="0"/>
        <w:jc w:val="both"/>
        <w:rPr>
          <w:sz w:val="12"/>
          <w:lang w:val="nl-BE"/>
        </w:rPr>
      </w:pPr>
      <w:proofErr w:type="spellStart"/>
      <w:r w:rsidRPr="00E36C3A">
        <w:rPr>
          <w:b/>
          <w:sz w:val="12"/>
          <w:lang w:val="nl-BE"/>
        </w:rPr>
        <w:t>Synergrid</w:t>
      </w:r>
      <w:proofErr w:type="spellEnd"/>
      <w:r w:rsidRPr="00E36C3A">
        <w:rPr>
          <w:b/>
          <w:sz w:val="12"/>
          <w:lang w:val="nl-BE"/>
        </w:rPr>
        <w:t xml:space="preserve"> Voorschriften / Aanbevelingen:</w:t>
      </w:r>
      <w:r w:rsidRPr="00E36C3A">
        <w:rPr>
          <w:sz w:val="12"/>
          <w:lang w:val="nl-BE"/>
        </w:rPr>
        <w:t xml:space="preserve"> Technische voorschriften / aanbevelingen met betrekking tot aardgas, zoals raadpleegbaar op de website van </w:t>
      </w:r>
      <w:proofErr w:type="spellStart"/>
      <w:r w:rsidRPr="00E36C3A">
        <w:rPr>
          <w:sz w:val="12"/>
          <w:lang w:val="nl-BE"/>
        </w:rPr>
        <w:t>Synergrid</w:t>
      </w:r>
      <w:proofErr w:type="spellEnd"/>
      <w:r w:rsidRPr="00E36C3A">
        <w:rPr>
          <w:sz w:val="12"/>
          <w:lang w:val="nl-BE"/>
        </w:rPr>
        <w:t xml:space="preserve"> (</w:t>
      </w:r>
      <w:hyperlink r:id="rId17" w:history="1">
        <w:r w:rsidRPr="00E36C3A">
          <w:rPr>
            <w:sz w:val="12"/>
            <w:lang w:val="nl-BE"/>
          </w:rPr>
          <w:t>www.synergrid.be</w:t>
        </w:r>
      </w:hyperlink>
      <w:r w:rsidRPr="00E36C3A">
        <w:rPr>
          <w:sz w:val="12"/>
          <w:lang w:val="nl-BE"/>
        </w:rPr>
        <w:t>)</w:t>
      </w:r>
    </w:p>
    <w:p w14:paraId="436F04FD" w14:textId="77777777" w:rsidR="008F61D1" w:rsidRPr="00E36C3A" w:rsidRDefault="008F61D1" w:rsidP="008F61D1">
      <w:pPr>
        <w:pStyle w:val="Lijstalinea"/>
        <w:numPr>
          <w:ilvl w:val="0"/>
          <w:numId w:val="6"/>
        </w:numPr>
        <w:tabs>
          <w:tab w:val="center" w:pos="4320"/>
          <w:tab w:val="right" w:pos="8640"/>
        </w:tabs>
        <w:adjustRightInd/>
        <w:spacing w:after="360"/>
        <w:ind w:left="850" w:hanging="425"/>
        <w:contextualSpacing w:val="0"/>
        <w:jc w:val="both"/>
        <w:rPr>
          <w:sz w:val="12"/>
          <w:lang w:val="nl-BE"/>
        </w:rPr>
      </w:pPr>
      <w:r w:rsidRPr="00E36C3A">
        <w:rPr>
          <w:b/>
          <w:sz w:val="12"/>
          <w:lang w:val="nl-BE"/>
        </w:rPr>
        <w:t>Tarief:</w:t>
      </w:r>
      <w:r w:rsidRPr="00E36C3A">
        <w:rPr>
          <w:sz w:val="12"/>
          <w:lang w:val="nl-BE"/>
        </w:rPr>
        <w:t xml:space="preserve"> De door de DNB gepubliceerde en door de bevoegde regulator goedgekeurde tarieven conform de tariefstructuur vastgelegd door de bevoegde regulator. Bij het ontbreken van een of meerdere van voorgaande eisen, betreft dit het voorlopig tarief zoals vastgesteld door de DNB. </w:t>
      </w:r>
    </w:p>
    <w:p w14:paraId="151F392D" w14:textId="77777777" w:rsidR="008F61D1" w:rsidRPr="00E36C3A" w:rsidRDefault="008F61D1" w:rsidP="008F61D1">
      <w:pPr>
        <w:pStyle w:val="Lijstalinea"/>
        <w:numPr>
          <w:ilvl w:val="0"/>
          <w:numId w:val="6"/>
        </w:numPr>
        <w:tabs>
          <w:tab w:val="center" w:pos="4320"/>
          <w:tab w:val="right" w:pos="8640"/>
        </w:tabs>
        <w:adjustRightInd/>
        <w:spacing w:after="360"/>
        <w:ind w:left="850" w:hanging="425"/>
        <w:contextualSpacing w:val="0"/>
        <w:jc w:val="both"/>
        <w:rPr>
          <w:b/>
          <w:sz w:val="12"/>
          <w:lang w:val="nl-BE"/>
        </w:rPr>
      </w:pPr>
      <w:r w:rsidRPr="00E36C3A">
        <w:rPr>
          <w:b/>
          <w:sz w:val="12"/>
          <w:lang w:val="nl-BE"/>
        </w:rPr>
        <w:t xml:space="preserve">Vastgoed: </w:t>
      </w:r>
      <w:r w:rsidRPr="00E36C3A">
        <w:rPr>
          <w:sz w:val="12"/>
          <w:lang w:val="nl-BE"/>
        </w:rPr>
        <w:t>Onroerend goed dat zowel het perceel zelf als enige constructie op het perceel omvat, waaronder, maar niet uitsluitend beperkt tot, gebouwen of delen van het gebouw.</w:t>
      </w:r>
    </w:p>
    <w:p w14:paraId="69E12FF6" w14:textId="77777777" w:rsidR="008F61D1" w:rsidRPr="00E36C3A" w:rsidRDefault="008F61D1" w:rsidP="008F61D1">
      <w:pPr>
        <w:rPr>
          <w:rFonts w:cs="Arial"/>
          <w:sz w:val="12"/>
          <w:lang w:val="nl-BE"/>
        </w:rPr>
      </w:pPr>
    </w:p>
    <w:p w14:paraId="7EF9EE8B" w14:textId="77777777" w:rsidR="008F61D1" w:rsidRPr="00E36C3A" w:rsidRDefault="008F61D1" w:rsidP="008F61D1">
      <w:pPr>
        <w:pStyle w:val="Kop1"/>
        <w:keepLines/>
        <w:numPr>
          <w:ilvl w:val="0"/>
          <w:numId w:val="7"/>
        </w:numPr>
        <w:shd w:val="clear" w:color="auto" w:fill="D9D9D9" w:themeFill="background1" w:themeFillShade="D9"/>
        <w:autoSpaceDE/>
        <w:autoSpaceDN/>
        <w:adjustRightInd/>
        <w:spacing w:before="480" w:after="240"/>
        <w:ind w:left="1418" w:hanging="1418"/>
        <w:jc w:val="both"/>
        <w:rPr>
          <w:rFonts w:eastAsiaTheme="majorEastAsia" w:cs="Arial"/>
          <w:b/>
          <w:bCs/>
          <w:i w:val="0"/>
          <w:iCs w:val="0"/>
          <w:sz w:val="16"/>
          <w:szCs w:val="24"/>
          <w:lang w:val="nl-BE"/>
        </w:rPr>
      </w:pPr>
      <w:bookmarkStart w:id="16" w:name="_Ref423521439"/>
      <w:bookmarkStart w:id="17" w:name="_Toc425838663"/>
      <w:bookmarkStart w:id="18" w:name="_Toc466378806"/>
      <w:r w:rsidRPr="00E36C3A">
        <w:rPr>
          <w:rFonts w:eastAsiaTheme="majorEastAsia" w:cs="Arial"/>
          <w:b/>
          <w:bCs/>
          <w:i w:val="0"/>
          <w:iCs w:val="0"/>
          <w:sz w:val="16"/>
          <w:szCs w:val="24"/>
          <w:lang w:val="nl-BE"/>
        </w:rPr>
        <w:t>Contractuele relatie DNB-DNG: doorwerking ten aanzien van derden</w:t>
      </w:r>
      <w:bookmarkEnd w:id="16"/>
      <w:bookmarkEnd w:id="17"/>
      <w:bookmarkEnd w:id="18"/>
    </w:p>
    <w:p w14:paraId="55414634" w14:textId="77777777" w:rsidR="008F61D1" w:rsidRPr="00E36C3A" w:rsidRDefault="008F61D1" w:rsidP="008F61D1">
      <w:pPr>
        <w:rPr>
          <w:sz w:val="12"/>
          <w:lang w:val="nl-BE"/>
        </w:rPr>
      </w:pPr>
      <w:r w:rsidRPr="00E36C3A">
        <w:rPr>
          <w:sz w:val="12"/>
          <w:lang w:val="nl-BE"/>
        </w:rPr>
        <w:t xml:space="preserve">De DNG heeft als enige een contractuele relatie met de DNB voor wat de Aansluiting betreft. De Partijen leggen als enige verantwoording af ten aanzien van elkaar voor de naleving van alle contractuele en wettelijke rechten en plichten voor alle personen die gebruik maken van de Aansluiting. </w:t>
      </w:r>
    </w:p>
    <w:p w14:paraId="442F0E89" w14:textId="77777777" w:rsidR="008F61D1" w:rsidRPr="00E36C3A" w:rsidRDefault="008F61D1" w:rsidP="008F61D1">
      <w:pPr>
        <w:rPr>
          <w:sz w:val="12"/>
          <w:lang w:val="nl-BE"/>
        </w:rPr>
      </w:pPr>
    </w:p>
    <w:p w14:paraId="5C4D68D9" w14:textId="77777777" w:rsidR="008F61D1" w:rsidRPr="00E36C3A" w:rsidRDefault="008F61D1" w:rsidP="008F61D1">
      <w:pPr>
        <w:rPr>
          <w:sz w:val="12"/>
          <w:lang w:val="nl-BE"/>
        </w:rPr>
      </w:pPr>
    </w:p>
    <w:p w14:paraId="20BC26D3" w14:textId="77777777" w:rsidR="008F61D1" w:rsidRPr="00E36C3A" w:rsidRDefault="008F61D1" w:rsidP="008F61D1">
      <w:pPr>
        <w:rPr>
          <w:sz w:val="12"/>
          <w:lang w:val="nl-BE"/>
        </w:rPr>
      </w:pPr>
      <w:r w:rsidRPr="00E36C3A">
        <w:rPr>
          <w:sz w:val="12"/>
          <w:lang w:val="nl-BE"/>
        </w:rPr>
        <w:t>De DNG verbindt er zich toe om de bepalingen van de onderhavige overeenkomst te laten doorwerken in zijn verhoudingen met de hierna vermelde derden:</w:t>
      </w:r>
    </w:p>
    <w:p w14:paraId="6D2A25E5" w14:textId="77777777" w:rsidR="008F61D1" w:rsidRPr="00E36C3A" w:rsidRDefault="008F61D1" w:rsidP="008F61D1">
      <w:pPr>
        <w:rPr>
          <w:sz w:val="12"/>
          <w:lang w:val="nl-BE"/>
        </w:rPr>
      </w:pPr>
    </w:p>
    <w:p w14:paraId="04FCB9B5" w14:textId="77777777" w:rsidR="008F61D1" w:rsidRPr="00E36C3A" w:rsidRDefault="008F61D1" w:rsidP="008F61D1">
      <w:pPr>
        <w:pStyle w:val="Lijstalinea"/>
        <w:numPr>
          <w:ilvl w:val="0"/>
          <w:numId w:val="6"/>
        </w:numPr>
        <w:adjustRightInd/>
        <w:contextualSpacing w:val="0"/>
        <w:rPr>
          <w:sz w:val="12"/>
          <w:lang w:val="nl-BE"/>
        </w:rPr>
      </w:pPr>
      <w:r w:rsidRPr="00E36C3A">
        <w:rPr>
          <w:sz w:val="12"/>
          <w:lang w:val="nl-BE"/>
        </w:rPr>
        <w:t>alle netgebruikers die gebruik maken van de Aansluiting zoals geïdentificeerd in het artikel "Identificatie van de Aansluiting" terug te vinden in het eigenlijke contract waarvan deze algemene voorwaarden een bijlage zijn;</w:t>
      </w:r>
    </w:p>
    <w:p w14:paraId="6E6CFD70" w14:textId="77777777" w:rsidR="008F61D1" w:rsidRPr="00E36C3A" w:rsidRDefault="008F61D1" w:rsidP="008F61D1">
      <w:pPr>
        <w:rPr>
          <w:sz w:val="12"/>
          <w:lang w:val="nl-BE"/>
        </w:rPr>
      </w:pPr>
    </w:p>
    <w:p w14:paraId="6643A3BA" w14:textId="77777777" w:rsidR="008F61D1" w:rsidRPr="00E36C3A" w:rsidRDefault="008F61D1" w:rsidP="008F61D1">
      <w:pPr>
        <w:pStyle w:val="Lijstalinea"/>
        <w:numPr>
          <w:ilvl w:val="0"/>
          <w:numId w:val="6"/>
        </w:numPr>
        <w:adjustRightInd/>
        <w:contextualSpacing w:val="0"/>
        <w:rPr>
          <w:sz w:val="12"/>
          <w:lang w:val="nl-BE"/>
        </w:rPr>
      </w:pPr>
      <w:r w:rsidRPr="00E36C3A">
        <w:rPr>
          <w:sz w:val="12"/>
          <w:lang w:val="nl-BE"/>
        </w:rPr>
        <w:t>alle eigenaars die beschikken over een recht van eigendom opstal of elk ander zakelijk recht op een Vastgoed dat beschikt over de Aansluiting.</w:t>
      </w:r>
    </w:p>
    <w:p w14:paraId="4BED0218" w14:textId="77777777" w:rsidR="008F61D1" w:rsidRPr="00E36C3A" w:rsidRDefault="008F61D1" w:rsidP="008F61D1">
      <w:pPr>
        <w:rPr>
          <w:sz w:val="12"/>
          <w:lang w:val="nl-BE"/>
        </w:rPr>
      </w:pPr>
    </w:p>
    <w:p w14:paraId="5E761F4B" w14:textId="77777777" w:rsidR="008F61D1" w:rsidRPr="00E36C3A" w:rsidRDefault="008F61D1" w:rsidP="008F61D1">
      <w:pPr>
        <w:rPr>
          <w:sz w:val="12"/>
          <w:lang w:val="nl-BE"/>
        </w:rPr>
      </w:pPr>
      <w:r w:rsidRPr="00E36C3A">
        <w:rPr>
          <w:sz w:val="12"/>
          <w:lang w:val="nl-BE"/>
        </w:rPr>
        <w:t>Het onderhavige contract schept op geen enkele wijze een beding ten behoeve van een van de hoger vermelde derden.</w:t>
      </w:r>
    </w:p>
    <w:p w14:paraId="749B7282" w14:textId="77777777" w:rsidR="008F61D1" w:rsidRPr="00E36C3A" w:rsidRDefault="008F61D1" w:rsidP="008F61D1">
      <w:pPr>
        <w:rPr>
          <w:rFonts w:cs="Arial"/>
          <w:sz w:val="12"/>
          <w:lang w:val="nl-BE"/>
        </w:rPr>
      </w:pPr>
    </w:p>
    <w:p w14:paraId="0A84E582" w14:textId="77777777" w:rsidR="008F61D1" w:rsidRPr="00E36C3A" w:rsidRDefault="008F61D1" w:rsidP="008F61D1">
      <w:pPr>
        <w:pStyle w:val="Kop1"/>
        <w:keepLines/>
        <w:numPr>
          <w:ilvl w:val="0"/>
          <w:numId w:val="7"/>
        </w:numPr>
        <w:shd w:val="clear" w:color="auto" w:fill="D9D9D9" w:themeFill="background1" w:themeFillShade="D9"/>
        <w:autoSpaceDE/>
        <w:autoSpaceDN/>
        <w:adjustRightInd/>
        <w:spacing w:before="480" w:after="240"/>
        <w:ind w:left="1418" w:hanging="1418"/>
        <w:jc w:val="both"/>
        <w:rPr>
          <w:rFonts w:eastAsiaTheme="majorEastAsia" w:cs="Arial"/>
          <w:b/>
          <w:bCs/>
          <w:i w:val="0"/>
          <w:iCs w:val="0"/>
          <w:sz w:val="16"/>
          <w:szCs w:val="24"/>
          <w:lang w:val="nl-BE"/>
        </w:rPr>
      </w:pPr>
      <w:bookmarkStart w:id="19" w:name="_Toc422405274"/>
      <w:bookmarkStart w:id="20" w:name="_Toc425838664"/>
      <w:bookmarkStart w:id="21" w:name="_Toc466378807"/>
      <w:r w:rsidRPr="00E36C3A">
        <w:rPr>
          <w:rFonts w:eastAsiaTheme="majorEastAsia" w:cs="Arial"/>
          <w:b/>
          <w:bCs/>
          <w:i w:val="0"/>
          <w:iCs w:val="0"/>
          <w:sz w:val="16"/>
          <w:szCs w:val="24"/>
          <w:lang w:val="nl-BE"/>
        </w:rPr>
        <w:lastRenderedPageBreak/>
        <w:t>Eigendomsbepaling van de Aansluiting</w:t>
      </w:r>
      <w:bookmarkEnd w:id="19"/>
      <w:bookmarkEnd w:id="20"/>
      <w:bookmarkEnd w:id="21"/>
    </w:p>
    <w:p w14:paraId="27655E81" w14:textId="77777777" w:rsidR="008F61D1" w:rsidRPr="00E36C3A" w:rsidRDefault="008F61D1" w:rsidP="008F61D1">
      <w:pPr>
        <w:rPr>
          <w:sz w:val="12"/>
          <w:lang w:val="nl-BE" w:eastAsia="nl-BE"/>
        </w:rPr>
      </w:pPr>
      <w:r w:rsidRPr="00E36C3A">
        <w:rPr>
          <w:sz w:val="12"/>
          <w:lang w:val="nl-BE" w:eastAsia="nl-BE"/>
        </w:rPr>
        <w:t>Onverminderd de bestaande toestand, is de DNB eigenaar van de Aansluiting zoals gedefinieerd in het TRDG, tenzij hierover andersluidende specifieke bepalingen in het Aansluitingscontract worden vastgelegd (ongeacht betaalde tussenkomst).</w:t>
      </w:r>
    </w:p>
    <w:p w14:paraId="76E75021" w14:textId="77777777" w:rsidR="008F61D1" w:rsidRPr="00E36C3A" w:rsidRDefault="008F61D1" w:rsidP="008F61D1">
      <w:pPr>
        <w:rPr>
          <w:sz w:val="12"/>
          <w:lang w:val="nl-BE"/>
        </w:rPr>
      </w:pPr>
    </w:p>
    <w:p w14:paraId="22F9F6F4" w14:textId="77777777" w:rsidR="008F61D1" w:rsidRPr="00E36C3A" w:rsidRDefault="008F61D1" w:rsidP="008F61D1">
      <w:pPr>
        <w:rPr>
          <w:sz w:val="12"/>
          <w:lang w:val="nl-BE"/>
        </w:rPr>
      </w:pPr>
    </w:p>
    <w:p w14:paraId="6A83B6F2" w14:textId="77777777" w:rsidR="008F61D1" w:rsidRPr="00E36C3A" w:rsidRDefault="008F61D1" w:rsidP="008F61D1">
      <w:pPr>
        <w:rPr>
          <w:rFonts w:cs="Arial"/>
          <w:sz w:val="12"/>
          <w:lang w:val="nl-BE"/>
        </w:rPr>
      </w:pPr>
      <w:r w:rsidRPr="00E36C3A">
        <w:rPr>
          <w:rFonts w:cs="Arial"/>
          <w:sz w:val="12"/>
          <w:lang w:val="nl-BE"/>
        </w:rPr>
        <w:t>Het beëindigen van dit contract wijzigt in geen enkel opzicht de eigendomsrechten van de Aansluiting, noch de bijhorende rechten en verplichtingen.</w:t>
      </w:r>
    </w:p>
    <w:p w14:paraId="5A0E469E" w14:textId="77777777" w:rsidR="008F61D1" w:rsidRPr="00E36C3A" w:rsidRDefault="008F61D1" w:rsidP="008F61D1">
      <w:pPr>
        <w:rPr>
          <w:sz w:val="12"/>
          <w:lang w:val="nl-BE"/>
        </w:rPr>
      </w:pPr>
    </w:p>
    <w:p w14:paraId="70B7FA08" w14:textId="77777777" w:rsidR="008F61D1" w:rsidRPr="00E36C3A" w:rsidRDefault="008F61D1" w:rsidP="008F61D1">
      <w:pPr>
        <w:pStyle w:val="Kop1"/>
        <w:keepLines/>
        <w:numPr>
          <w:ilvl w:val="0"/>
          <w:numId w:val="7"/>
        </w:numPr>
        <w:shd w:val="clear" w:color="auto" w:fill="D9D9D9" w:themeFill="background1" w:themeFillShade="D9"/>
        <w:autoSpaceDE/>
        <w:autoSpaceDN/>
        <w:adjustRightInd/>
        <w:spacing w:before="480" w:after="240"/>
        <w:ind w:left="1418" w:hanging="1418"/>
        <w:jc w:val="both"/>
        <w:rPr>
          <w:rFonts w:eastAsiaTheme="majorEastAsia" w:cs="Arial"/>
          <w:b/>
          <w:bCs/>
          <w:i w:val="0"/>
          <w:iCs w:val="0"/>
          <w:sz w:val="16"/>
          <w:szCs w:val="24"/>
          <w:lang w:val="nl-BE"/>
        </w:rPr>
      </w:pPr>
      <w:bookmarkStart w:id="22" w:name="_Toc425838665"/>
      <w:bookmarkStart w:id="23" w:name="_Toc466378808"/>
      <w:r w:rsidRPr="00E36C3A">
        <w:rPr>
          <w:rFonts w:eastAsiaTheme="majorEastAsia" w:cs="Arial"/>
          <w:b/>
          <w:bCs/>
          <w:i w:val="0"/>
          <w:iCs w:val="0"/>
          <w:sz w:val="16"/>
          <w:szCs w:val="24"/>
          <w:lang w:val="nl-BE"/>
        </w:rPr>
        <w:t>Tenlastelegging van vervangingsinvesteringen</w:t>
      </w:r>
      <w:bookmarkEnd w:id="22"/>
      <w:bookmarkEnd w:id="23"/>
    </w:p>
    <w:p w14:paraId="5CFFEE8E" w14:textId="77777777" w:rsidR="008F61D1" w:rsidRPr="00E36C3A" w:rsidRDefault="008F61D1" w:rsidP="008F61D1">
      <w:pPr>
        <w:rPr>
          <w:sz w:val="12"/>
          <w:lang w:val="nl-BE"/>
        </w:rPr>
      </w:pPr>
      <w:r w:rsidRPr="00E36C3A">
        <w:rPr>
          <w:sz w:val="12"/>
          <w:lang w:val="nl-BE"/>
        </w:rPr>
        <w:t>De investerings- en exploitatiekosten voor vervanging, aanpassing en onderhoud van de Aansluiting of een component van de Aansluiting worden ten laste genomen door de eigenaar ervan. De DNB behoudt echter het recht om aan de DNG een tussenkomst aan te rekenen, op basis van de bestaande tarieven voor werken aan Aansluitingen, voor werken die verzocht of veroorzaakt zijn door de DNG, zoals verder beschreven in Artikel 7.</w:t>
      </w:r>
    </w:p>
    <w:p w14:paraId="616F9BEB" w14:textId="77777777" w:rsidR="008F61D1" w:rsidRPr="00E36C3A" w:rsidRDefault="008F61D1" w:rsidP="008F61D1">
      <w:pPr>
        <w:rPr>
          <w:sz w:val="12"/>
          <w:lang w:val="nl-BE"/>
        </w:rPr>
      </w:pPr>
    </w:p>
    <w:p w14:paraId="11BD7A83" w14:textId="77777777" w:rsidR="008F61D1" w:rsidRPr="00E36C3A" w:rsidRDefault="008F61D1" w:rsidP="008F61D1">
      <w:pPr>
        <w:rPr>
          <w:sz w:val="12"/>
          <w:lang w:val="nl-BE"/>
        </w:rPr>
      </w:pPr>
      <w:r w:rsidRPr="00E36C3A">
        <w:rPr>
          <w:sz w:val="12"/>
          <w:lang w:val="nl-BE"/>
        </w:rPr>
        <w:t xml:space="preserve">De DNB is slechts gehouden tot </w:t>
      </w:r>
      <w:proofErr w:type="spellStart"/>
      <w:r w:rsidRPr="00E36C3A">
        <w:rPr>
          <w:sz w:val="12"/>
          <w:lang w:val="nl-BE"/>
        </w:rPr>
        <w:t>tenlasteneming</w:t>
      </w:r>
      <w:proofErr w:type="spellEnd"/>
      <w:r w:rsidRPr="00E36C3A">
        <w:rPr>
          <w:sz w:val="12"/>
          <w:lang w:val="nl-BE"/>
        </w:rPr>
        <w:t xml:space="preserve"> van de kosten voor de vervanging van de aansluitingsinstallaties (waarvan hij eigenaar is), indien deze vervangen worden door installaties die gedimensioneerd zijn in functie van de bestaande contractuele Aansluitingscapaciteit.</w:t>
      </w:r>
    </w:p>
    <w:p w14:paraId="2D11BBE6" w14:textId="77777777" w:rsidR="008F61D1" w:rsidRPr="00E36C3A" w:rsidRDefault="008F61D1" w:rsidP="008F61D1">
      <w:pPr>
        <w:rPr>
          <w:sz w:val="12"/>
          <w:lang w:val="nl-BE"/>
        </w:rPr>
      </w:pPr>
    </w:p>
    <w:p w14:paraId="1C6224E6" w14:textId="77777777" w:rsidR="008F61D1" w:rsidRPr="00E36C3A" w:rsidRDefault="008F61D1" w:rsidP="008F61D1">
      <w:pPr>
        <w:rPr>
          <w:sz w:val="12"/>
          <w:lang w:val="nl-BE"/>
        </w:rPr>
      </w:pPr>
      <w:r w:rsidRPr="00E36C3A">
        <w:rPr>
          <w:sz w:val="12"/>
          <w:lang w:val="nl-BE"/>
        </w:rPr>
        <w:t>Bovendien, als de DNB uit historische metingen vaststelt dat de werkelijke behoeften van de DNG lager zijn dan de Aansluitingscapaciteit, kan de DNB in overleg met de DNG de aansluitingsinstallaties, waarvan hij de vervangingsinvestering ten laste neemt, ook dimensioneren in functie van de werkelijke behoeften van de DNG, en de Aansluitingscapaciteit aanpassen.</w:t>
      </w:r>
    </w:p>
    <w:p w14:paraId="7C2E43D3" w14:textId="77777777" w:rsidR="008F61D1" w:rsidRPr="00E36C3A" w:rsidRDefault="008F61D1" w:rsidP="008F61D1">
      <w:pPr>
        <w:rPr>
          <w:sz w:val="12"/>
          <w:lang w:val="nl-BE"/>
        </w:rPr>
      </w:pPr>
    </w:p>
    <w:p w14:paraId="15ECDF4E" w14:textId="77777777" w:rsidR="008F61D1" w:rsidRPr="00E36C3A" w:rsidRDefault="008F61D1" w:rsidP="008F61D1">
      <w:pPr>
        <w:rPr>
          <w:sz w:val="12"/>
          <w:lang w:val="nl-BE"/>
        </w:rPr>
      </w:pPr>
      <w:r w:rsidRPr="00E36C3A">
        <w:rPr>
          <w:sz w:val="12"/>
          <w:lang w:val="nl-BE"/>
        </w:rPr>
        <w:t xml:space="preserve">Specifieke meerkosten van de vervanging, </w:t>
      </w:r>
      <w:proofErr w:type="spellStart"/>
      <w:r w:rsidRPr="00E36C3A">
        <w:rPr>
          <w:sz w:val="12"/>
          <w:lang w:val="nl-BE"/>
        </w:rPr>
        <w:t>tengevolge</w:t>
      </w:r>
      <w:proofErr w:type="spellEnd"/>
      <w:r w:rsidRPr="00E36C3A">
        <w:rPr>
          <w:sz w:val="12"/>
          <w:lang w:val="nl-BE"/>
        </w:rPr>
        <w:t xml:space="preserve"> van de moeilijke bereikbaarheid en toegankelijkheid voor de DNB om de vervangingswerken te kunnen uitvoeren, worden gedragen door de DNG.</w:t>
      </w:r>
    </w:p>
    <w:p w14:paraId="3B3F6B4F" w14:textId="77777777" w:rsidR="008F61D1" w:rsidRPr="00E36C3A" w:rsidRDefault="008F61D1" w:rsidP="008F61D1">
      <w:pPr>
        <w:pStyle w:val="Kop1"/>
        <w:keepLines/>
        <w:numPr>
          <w:ilvl w:val="0"/>
          <w:numId w:val="7"/>
        </w:numPr>
        <w:shd w:val="clear" w:color="auto" w:fill="D9D9D9" w:themeFill="background1" w:themeFillShade="D9"/>
        <w:autoSpaceDE/>
        <w:autoSpaceDN/>
        <w:adjustRightInd/>
        <w:spacing w:before="480" w:after="240"/>
        <w:ind w:left="1418" w:hanging="1418"/>
        <w:jc w:val="both"/>
        <w:rPr>
          <w:rFonts w:eastAsiaTheme="majorEastAsia" w:cs="Arial"/>
          <w:b/>
          <w:bCs/>
          <w:i w:val="0"/>
          <w:iCs w:val="0"/>
          <w:sz w:val="16"/>
          <w:szCs w:val="24"/>
          <w:lang w:val="nl-BE"/>
        </w:rPr>
      </w:pPr>
      <w:bookmarkStart w:id="24" w:name="_Toc466378809"/>
      <w:bookmarkStart w:id="25" w:name="_Toc466378810"/>
      <w:bookmarkStart w:id="26" w:name="_Toc466378811"/>
      <w:bookmarkStart w:id="27" w:name="_Toc466378812"/>
      <w:bookmarkStart w:id="28" w:name="_Toc466378813"/>
      <w:bookmarkStart w:id="29" w:name="_Toc422405275"/>
      <w:bookmarkStart w:id="30" w:name="_Toc425838666"/>
      <w:bookmarkStart w:id="31" w:name="_Toc466378814"/>
      <w:bookmarkEnd w:id="24"/>
      <w:bookmarkEnd w:id="25"/>
      <w:bookmarkEnd w:id="26"/>
      <w:bookmarkEnd w:id="27"/>
      <w:bookmarkEnd w:id="28"/>
      <w:r w:rsidRPr="00E36C3A">
        <w:rPr>
          <w:rFonts w:eastAsiaTheme="majorEastAsia" w:cs="Arial"/>
          <w:b/>
          <w:bCs/>
          <w:i w:val="0"/>
          <w:iCs w:val="0"/>
          <w:sz w:val="16"/>
          <w:szCs w:val="24"/>
          <w:lang w:val="nl-BE"/>
        </w:rPr>
        <w:t>Beheer van de Aansluiting</w:t>
      </w:r>
      <w:bookmarkEnd w:id="29"/>
      <w:bookmarkEnd w:id="30"/>
      <w:bookmarkEnd w:id="31"/>
    </w:p>
    <w:p w14:paraId="0B04837A" w14:textId="77777777" w:rsidR="008F61D1" w:rsidRPr="00E36C3A" w:rsidRDefault="008F61D1" w:rsidP="008F61D1">
      <w:pPr>
        <w:pStyle w:val="Kop2"/>
        <w:keepNext/>
        <w:keepLines/>
        <w:numPr>
          <w:ilvl w:val="1"/>
          <w:numId w:val="7"/>
        </w:numPr>
        <w:autoSpaceDE/>
        <w:autoSpaceDN/>
        <w:adjustRightInd/>
        <w:spacing w:before="200"/>
        <w:ind w:left="567" w:hanging="567"/>
        <w:jc w:val="both"/>
        <w:rPr>
          <w:rFonts w:eastAsiaTheme="majorEastAsia" w:cs="Arial"/>
          <w:sz w:val="14"/>
          <w:szCs w:val="22"/>
          <w:lang w:val="nl-BE"/>
        </w:rPr>
      </w:pPr>
      <w:bookmarkStart w:id="32" w:name="_Toc422405276"/>
      <w:bookmarkStart w:id="33" w:name="_Toc425838667"/>
      <w:bookmarkStart w:id="34" w:name="_Toc466378815"/>
      <w:r w:rsidRPr="00E36C3A">
        <w:rPr>
          <w:rFonts w:eastAsiaTheme="majorEastAsia" w:cs="Arial"/>
          <w:sz w:val="14"/>
          <w:szCs w:val="22"/>
          <w:lang w:val="nl-BE"/>
        </w:rPr>
        <w:t>Beheer van de Aansluiting</w:t>
      </w:r>
      <w:bookmarkEnd w:id="32"/>
      <w:r w:rsidRPr="00E36C3A">
        <w:rPr>
          <w:rFonts w:eastAsiaTheme="majorEastAsia" w:cs="Arial"/>
          <w:sz w:val="14"/>
          <w:szCs w:val="22"/>
          <w:lang w:val="nl-BE"/>
        </w:rPr>
        <w:t xml:space="preserve"> door de DNB</w:t>
      </w:r>
      <w:bookmarkEnd w:id="33"/>
      <w:bookmarkEnd w:id="34"/>
      <w:r w:rsidRPr="00E36C3A">
        <w:rPr>
          <w:rFonts w:eastAsiaTheme="majorEastAsia" w:cs="Arial"/>
          <w:sz w:val="14"/>
          <w:szCs w:val="22"/>
          <w:lang w:val="nl-BE"/>
        </w:rPr>
        <w:t xml:space="preserve"> </w:t>
      </w:r>
    </w:p>
    <w:p w14:paraId="4734A7A0" w14:textId="77777777" w:rsidR="008F61D1" w:rsidRPr="00E36C3A" w:rsidRDefault="008F61D1" w:rsidP="008F61D1">
      <w:pPr>
        <w:pStyle w:val="Bloktekst"/>
        <w:ind w:left="-29"/>
        <w:rPr>
          <w:rFonts w:cs="Arial"/>
          <w:sz w:val="12"/>
          <w:lang w:val="nl-BE"/>
        </w:rPr>
      </w:pPr>
      <w:r w:rsidRPr="00E36C3A">
        <w:rPr>
          <w:rFonts w:cs="Arial"/>
          <w:sz w:val="12"/>
          <w:lang w:val="nl-BE"/>
        </w:rPr>
        <w:t xml:space="preserve">De DNB staat in voor de exploitatie, het onderhoud en de ontwikkeling van het distributienet, inclusief de Aansluiting conform de Vlaamse energiewetgeving, zijnde het Vlaams Energiedecreet van 8 mei 2009, haar uitvoeringsbesluiten en in het bijzonder het TRDG. </w:t>
      </w:r>
      <w:r w:rsidRPr="00E36C3A">
        <w:rPr>
          <w:rFonts w:ascii="FDEPLD+Arial" w:hAnsi="FDEPLD+Arial" w:cs="FDEPLD+Arial"/>
          <w:sz w:val="12"/>
          <w:lang w:val="nl-BE" w:eastAsia="nl-BE"/>
        </w:rPr>
        <w:t xml:space="preserve">De DNB staat eveneens in voor het toezicht op de </w:t>
      </w:r>
      <w:proofErr w:type="spellStart"/>
      <w:r w:rsidRPr="00E36C3A">
        <w:rPr>
          <w:rFonts w:ascii="FDEPLD+Arial" w:hAnsi="FDEPLD+Arial" w:cs="FDEPLD+Arial"/>
          <w:sz w:val="12"/>
          <w:lang w:val="nl-BE" w:eastAsia="nl-BE"/>
        </w:rPr>
        <w:t>odorisatie</w:t>
      </w:r>
      <w:proofErr w:type="spellEnd"/>
      <w:r w:rsidRPr="00E36C3A">
        <w:rPr>
          <w:rFonts w:ascii="FDEPLD+Arial" w:hAnsi="FDEPLD+Arial" w:cs="FDEPLD+Arial"/>
          <w:sz w:val="12"/>
          <w:lang w:val="nl-BE" w:eastAsia="nl-BE"/>
        </w:rPr>
        <w:t xml:space="preserve"> van het aardgas afkomstig van het vervoersnet, conform het KB van 28 juni 1971.</w:t>
      </w:r>
      <w:r w:rsidRPr="00E36C3A">
        <w:rPr>
          <w:rFonts w:cs="Arial"/>
          <w:sz w:val="12"/>
          <w:lang w:val="nl-BE"/>
        </w:rPr>
        <w:t xml:space="preserve"> </w:t>
      </w:r>
    </w:p>
    <w:p w14:paraId="4A0F89D4" w14:textId="77777777" w:rsidR="008F61D1" w:rsidRPr="00E36C3A" w:rsidRDefault="008F61D1" w:rsidP="008F61D1">
      <w:pPr>
        <w:rPr>
          <w:sz w:val="12"/>
          <w:lang w:val="nl-BE"/>
        </w:rPr>
      </w:pPr>
    </w:p>
    <w:p w14:paraId="512768A6" w14:textId="77777777" w:rsidR="008F61D1" w:rsidRPr="00E36C3A" w:rsidRDefault="008F61D1" w:rsidP="008F61D1">
      <w:pPr>
        <w:pStyle w:val="Kop2"/>
        <w:keepNext/>
        <w:keepLines/>
        <w:numPr>
          <w:ilvl w:val="1"/>
          <w:numId w:val="7"/>
        </w:numPr>
        <w:autoSpaceDE/>
        <w:autoSpaceDN/>
        <w:adjustRightInd/>
        <w:spacing w:before="200"/>
        <w:ind w:left="567" w:hanging="567"/>
        <w:jc w:val="both"/>
        <w:rPr>
          <w:rFonts w:eastAsiaTheme="majorEastAsia" w:cs="Arial"/>
          <w:sz w:val="14"/>
          <w:szCs w:val="22"/>
          <w:lang w:val="nl-BE"/>
        </w:rPr>
      </w:pPr>
      <w:bookmarkStart w:id="35" w:name="_Toc422405277"/>
      <w:bookmarkStart w:id="36" w:name="_Toc425838668"/>
      <w:bookmarkStart w:id="37" w:name="_Toc466378816"/>
      <w:r w:rsidRPr="00E36C3A">
        <w:rPr>
          <w:rFonts w:eastAsiaTheme="majorEastAsia" w:cs="Arial"/>
          <w:sz w:val="14"/>
          <w:szCs w:val="22"/>
          <w:lang w:val="nl-BE"/>
        </w:rPr>
        <w:t>Verplichtingen van de DNG</w:t>
      </w:r>
      <w:bookmarkEnd w:id="35"/>
      <w:bookmarkEnd w:id="36"/>
      <w:bookmarkEnd w:id="37"/>
    </w:p>
    <w:p w14:paraId="6FE691F3" w14:textId="77777777" w:rsidR="008F61D1" w:rsidRPr="00E36C3A" w:rsidRDefault="008F61D1" w:rsidP="008F61D1">
      <w:pPr>
        <w:rPr>
          <w:sz w:val="12"/>
          <w:lang w:val="nl-BE"/>
        </w:rPr>
      </w:pPr>
      <w:r w:rsidRPr="00E36C3A">
        <w:rPr>
          <w:sz w:val="12"/>
          <w:lang w:val="nl-BE"/>
        </w:rPr>
        <w:t>Deze verplichtingen in hoofde van de DNG strekken ertoe de DNB in staat te stellen de Aansluiting goed te beheren.</w:t>
      </w:r>
    </w:p>
    <w:p w14:paraId="7B7A1BD2" w14:textId="77777777" w:rsidR="008F61D1" w:rsidRPr="00E36C3A" w:rsidRDefault="008F61D1" w:rsidP="008F61D1">
      <w:pPr>
        <w:rPr>
          <w:sz w:val="12"/>
          <w:lang w:val="nl-BE"/>
        </w:rPr>
      </w:pPr>
    </w:p>
    <w:p w14:paraId="168A53EF" w14:textId="77777777" w:rsidR="008F61D1" w:rsidRPr="00E36C3A" w:rsidRDefault="008F61D1" w:rsidP="001C0F03">
      <w:pPr>
        <w:pStyle w:val="Kop3"/>
      </w:pPr>
      <w:bookmarkStart w:id="38" w:name="_Toc425838669"/>
      <w:bookmarkStart w:id="39" w:name="_Toc466378817"/>
      <w:r w:rsidRPr="00E36C3A">
        <w:t>Voldoen aan toepasselijke voorschriften</w:t>
      </w:r>
      <w:bookmarkEnd w:id="38"/>
      <w:bookmarkEnd w:id="39"/>
    </w:p>
    <w:p w14:paraId="53C2A90D" w14:textId="77777777" w:rsidR="008F61D1" w:rsidRPr="00E36C3A" w:rsidRDefault="008F61D1" w:rsidP="008F61D1">
      <w:pPr>
        <w:rPr>
          <w:sz w:val="12"/>
          <w:lang w:val="nl-BE" w:eastAsia="nl-BE"/>
        </w:rPr>
      </w:pPr>
      <w:r w:rsidRPr="00E36C3A">
        <w:rPr>
          <w:sz w:val="12"/>
          <w:lang w:val="nl-BE" w:eastAsia="nl-BE"/>
        </w:rPr>
        <w:t xml:space="preserve">Bij de opening van de gasmeterkraan verzekert de DNB zich ervan dat de </w:t>
      </w:r>
      <w:proofErr w:type="spellStart"/>
      <w:r w:rsidRPr="00E36C3A">
        <w:rPr>
          <w:sz w:val="12"/>
          <w:lang w:val="nl-BE" w:eastAsia="nl-BE"/>
        </w:rPr>
        <w:t>binneninstallatie</w:t>
      </w:r>
      <w:proofErr w:type="spellEnd"/>
      <w:r w:rsidRPr="00E36C3A">
        <w:rPr>
          <w:sz w:val="12"/>
          <w:lang w:val="nl-BE" w:eastAsia="nl-BE"/>
        </w:rPr>
        <w:t xml:space="preserve"> gasdicht is voor de distributiedruk. </w:t>
      </w:r>
    </w:p>
    <w:p w14:paraId="6DDC3E86" w14:textId="77777777" w:rsidR="008F61D1" w:rsidRPr="00E36C3A" w:rsidRDefault="008F61D1" w:rsidP="008F61D1">
      <w:pPr>
        <w:rPr>
          <w:sz w:val="12"/>
          <w:lang w:val="nl-BE" w:eastAsia="nl-BE"/>
        </w:rPr>
      </w:pPr>
    </w:p>
    <w:p w14:paraId="35577C9D" w14:textId="77777777" w:rsidR="008F61D1" w:rsidRPr="00E36C3A" w:rsidRDefault="008F61D1" w:rsidP="008F61D1">
      <w:pPr>
        <w:rPr>
          <w:sz w:val="12"/>
          <w:lang w:val="nl-BE"/>
        </w:rPr>
      </w:pPr>
      <w:r w:rsidRPr="00E36C3A">
        <w:rPr>
          <w:sz w:val="12"/>
          <w:lang w:val="nl-BE" w:eastAsia="nl-BE"/>
        </w:rPr>
        <w:t xml:space="preserve">Bij een nieuwe, of gedeeltelijk vernieuwde, </w:t>
      </w:r>
      <w:proofErr w:type="spellStart"/>
      <w:r w:rsidRPr="00E36C3A">
        <w:rPr>
          <w:sz w:val="12"/>
          <w:lang w:val="nl-BE" w:eastAsia="nl-BE"/>
        </w:rPr>
        <w:t>binneninstallatie</w:t>
      </w:r>
      <w:proofErr w:type="spellEnd"/>
      <w:r w:rsidRPr="00E36C3A">
        <w:rPr>
          <w:sz w:val="12"/>
          <w:lang w:val="nl-BE" w:eastAsia="nl-BE"/>
        </w:rPr>
        <w:t xml:space="preserve"> moet de installateur aan de DNB een attest van conformiteit van de </w:t>
      </w:r>
      <w:proofErr w:type="spellStart"/>
      <w:r w:rsidRPr="00E36C3A">
        <w:rPr>
          <w:sz w:val="12"/>
          <w:lang w:val="nl-BE" w:eastAsia="nl-BE"/>
        </w:rPr>
        <w:t>binneninstallatie</w:t>
      </w:r>
      <w:proofErr w:type="spellEnd"/>
      <w:r w:rsidRPr="00E36C3A">
        <w:rPr>
          <w:sz w:val="12"/>
          <w:lang w:val="nl-BE" w:eastAsia="nl-BE"/>
        </w:rPr>
        <w:t xml:space="preserve"> met de betrokken van toepassing zijnde normen afleveren. Dit attest bestaat uit een verklaring van de installateur die de Installatie gerealiseerd heeft, vergezeld van een principeschema van de Installatie die hij aangelegd heeft. Het attest moet gevalideerd worden door een verslag van een “Erkend controleorganisme”, na controle ter plaatse. In het geval van de installateur die de Installatie gerealiseerd heeft, een “gehabiliteerd installateur” is, wordt de Installatie beschouwd conform te zijn aan de voorschriften van de betrokken van toepassing zijnde normen en wordt de validatie door een “Erkend controleorganisme” niet gevraagd door de DNB.</w:t>
      </w:r>
    </w:p>
    <w:p w14:paraId="78545618" w14:textId="77777777" w:rsidR="008F61D1" w:rsidRPr="00E36C3A" w:rsidRDefault="008F61D1" w:rsidP="008F61D1">
      <w:pPr>
        <w:rPr>
          <w:sz w:val="12"/>
          <w:lang w:val="nl-BE"/>
        </w:rPr>
      </w:pPr>
    </w:p>
    <w:p w14:paraId="5677C65C" w14:textId="77777777" w:rsidR="008F61D1" w:rsidRPr="00E36C3A" w:rsidRDefault="008F61D1" w:rsidP="001C0F03">
      <w:pPr>
        <w:pStyle w:val="Kop3"/>
      </w:pPr>
      <w:bookmarkStart w:id="40" w:name="_Toc422405279"/>
      <w:bookmarkStart w:id="41" w:name="_Toc425838670"/>
      <w:bookmarkStart w:id="42" w:name="_Toc466378818"/>
      <w:r w:rsidRPr="00E36C3A">
        <w:t>Voorkomen van schade</w:t>
      </w:r>
      <w:bookmarkEnd w:id="40"/>
      <w:bookmarkEnd w:id="41"/>
      <w:bookmarkEnd w:id="42"/>
    </w:p>
    <w:p w14:paraId="4C01AA23" w14:textId="77777777" w:rsidR="008F61D1" w:rsidRPr="00E36C3A" w:rsidRDefault="008F61D1" w:rsidP="008F61D1">
      <w:pPr>
        <w:rPr>
          <w:sz w:val="12"/>
          <w:lang w:val="nl-BE"/>
        </w:rPr>
      </w:pPr>
      <w:r w:rsidRPr="00E36C3A">
        <w:rPr>
          <w:sz w:val="12"/>
          <w:lang w:val="nl-BE"/>
        </w:rPr>
        <w:t>De DNG ziet toe op de goede werking en de goede staat van zijn installaties (inclusief het deel van de Aansluiting dat zijn eigendom is, of waarover hij de effectieve controle of het gebruik heeft in akkoord met de eigenaar).</w:t>
      </w:r>
    </w:p>
    <w:p w14:paraId="76E8DE13" w14:textId="77777777" w:rsidR="008F61D1" w:rsidRPr="00E36C3A" w:rsidRDefault="008F61D1" w:rsidP="008F61D1">
      <w:pPr>
        <w:rPr>
          <w:sz w:val="12"/>
          <w:lang w:val="nl-BE"/>
        </w:rPr>
      </w:pPr>
    </w:p>
    <w:p w14:paraId="5E9C652E" w14:textId="77777777" w:rsidR="008F61D1" w:rsidRPr="00E36C3A" w:rsidRDefault="008F61D1" w:rsidP="008F61D1">
      <w:pPr>
        <w:rPr>
          <w:sz w:val="12"/>
          <w:lang w:val="nl-BE" w:eastAsia="nl-BE"/>
        </w:rPr>
      </w:pPr>
      <w:r w:rsidRPr="00E36C3A">
        <w:rPr>
          <w:sz w:val="12"/>
          <w:lang w:val="nl-BE"/>
        </w:rPr>
        <w:t xml:space="preserve">De Installaties van de DNG mogen bij de DNB of bij derden geen risico’s of schade van welke aard dan ook veroorzaken. De DNG moet de nodige voorzorgen nemen om schade aan de Aansluiting te voorkomen, </w:t>
      </w:r>
      <w:r w:rsidRPr="00E36C3A">
        <w:rPr>
          <w:sz w:val="12"/>
          <w:lang w:val="nl-BE" w:eastAsia="nl-BE"/>
        </w:rPr>
        <w:t xml:space="preserve">conform de </w:t>
      </w:r>
      <w:proofErr w:type="spellStart"/>
      <w:r w:rsidRPr="00E36C3A">
        <w:rPr>
          <w:sz w:val="12"/>
          <w:lang w:val="nl-BE" w:eastAsia="nl-BE"/>
        </w:rPr>
        <w:t>Synergrid</w:t>
      </w:r>
      <w:proofErr w:type="spellEnd"/>
      <w:r w:rsidRPr="00E36C3A">
        <w:rPr>
          <w:sz w:val="12"/>
          <w:lang w:val="nl-BE" w:eastAsia="nl-BE"/>
        </w:rPr>
        <w:t xml:space="preserve"> Voorschriften en Aanbevelingen, met inbegrip van de Aanbevelingen voor de </w:t>
      </w:r>
      <w:proofErr w:type="spellStart"/>
      <w:r w:rsidRPr="00E36C3A">
        <w:rPr>
          <w:sz w:val="12"/>
          <w:lang w:val="nl-BE" w:eastAsia="nl-BE"/>
        </w:rPr>
        <w:t>binneninstallatie</w:t>
      </w:r>
      <w:proofErr w:type="spellEnd"/>
      <w:r w:rsidRPr="00E36C3A">
        <w:rPr>
          <w:sz w:val="12"/>
          <w:lang w:val="nl-BE" w:eastAsia="nl-BE"/>
        </w:rPr>
        <w:t xml:space="preserve"> waarnaar verwezen wordt op de website van </w:t>
      </w:r>
      <w:proofErr w:type="spellStart"/>
      <w:r w:rsidRPr="00E36C3A">
        <w:rPr>
          <w:sz w:val="12"/>
          <w:lang w:val="nl-BE" w:eastAsia="nl-BE"/>
        </w:rPr>
        <w:t>Synergrid</w:t>
      </w:r>
      <w:proofErr w:type="spellEnd"/>
      <w:r w:rsidRPr="00E36C3A">
        <w:rPr>
          <w:sz w:val="12"/>
          <w:lang w:val="nl-BE" w:eastAsia="nl-BE"/>
        </w:rPr>
        <w:t>.</w:t>
      </w:r>
    </w:p>
    <w:p w14:paraId="30E26D4E" w14:textId="77777777" w:rsidR="008F61D1" w:rsidRPr="00E36C3A" w:rsidRDefault="008F61D1" w:rsidP="008F61D1">
      <w:pPr>
        <w:rPr>
          <w:sz w:val="12"/>
          <w:lang w:val="nl-BE"/>
        </w:rPr>
      </w:pPr>
    </w:p>
    <w:p w14:paraId="798809C5" w14:textId="6DE5DB7C" w:rsidR="008F61D1" w:rsidRPr="00E36C3A" w:rsidRDefault="008F61D1" w:rsidP="008F61D1">
      <w:pPr>
        <w:rPr>
          <w:sz w:val="12"/>
          <w:lang w:val="nl-BE" w:eastAsia="nl-BE"/>
        </w:rPr>
      </w:pPr>
      <w:r w:rsidRPr="00E36C3A">
        <w:rPr>
          <w:sz w:val="12"/>
          <w:lang w:val="nl-BE" w:eastAsia="nl-BE"/>
        </w:rPr>
        <w:t xml:space="preserve">Indien de DNB inbreuken van de DNG vaststelt kan de DNG overgaan tot de procedures zoals beschreven in </w:t>
      </w:r>
      <w:r w:rsidRPr="00E36C3A">
        <w:rPr>
          <w:sz w:val="12"/>
          <w:lang w:eastAsia="nl-BE"/>
        </w:rPr>
        <w:fldChar w:fldCharType="begin"/>
      </w:r>
      <w:r w:rsidRPr="00E36C3A">
        <w:rPr>
          <w:sz w:val="12"/>
          <w:lang w:val="nl-BE" w:eastAsia="nl-BE"/>
        </w:rPr>
        <w:instrText xml:space="preserve"> REF _Ref457921381 \r \h </w:instrText>
      </w:r>
      <w:r w:rsidR="00E36C3A" w:rsidRPr="00E36C3A">
        <w:rPr>
          <w:sz w:val="12"/>
          <w:lang w:val="nl-BE" w:eastAsia="nl-BE"/>
        </w:rPr>
        <w:instrText xml:space="preserve"> \* MERGEFORMAT </w:instrText>
      </w:r>
      <w:r w:rsidRPr="00E36C3A">
        <w:rPr>
          <w:sz w:val="12"/>
          <w:lang w:eastAsia="nl-BE"/>
        </w:rPr>
      </w:r>
      <w:r w:rsidRPr="00E36C3A">
        <w:rPr>
          <w:sz w:val="12"/>
          <w:lang w:eastAsia="nl-BE"/>
        </w:rPr>
        <w:fldChar w:fldCharType="separate"/>
      </w:r>
      <w:r w:rsidRPr="00E36C3A">
        <w:rPr>
          <w:sz w:val="12"/>
          <w:lang w:val="nl-BE" w:eastAsia="nl-BE"/>
        </w:rPr>
        <w:t>Artikel 14</w:t>
      </w:r>
      <w:r w:rsidRPr="00E36C3A">
        <w:rPr>
          <w:sz w:val="12"/>
          <w:lang w:eastAsia="nl-BE"/>
        </w:rPr>
        <w:fldChar w:fldCharType="end"/>
      </w:r>
      <w:r w:rsidRPr="00E36C3A">
        <w:rPr>
          <w:sz w:val="12"/>
          <w:lang w:val="nl-BE" w:eastAsia="nl-BE"/>
        </w:rPr>
        <w:t xml:space="preserve"> (“Inbreuken”). Bij een acuut veiligheidsrisico kan de DNB de aansluiting onmiddellijk en zonder voorafgaande verwittiging buiten dienst stellen, waarna de DNB dit motiveert bij de DNG.. </w:t>
      </w:r>
    </w:p>
    <w:p w14:paraId="72EBD2DC" w14:textId="77777777" w:rsidR="008F61D1" w:rsidRPr="00E36C3A" w:rsidRDefault="008F61D1" w:rsidP="008F61D1">
      <w:pPr>
        <w:rPr>
          <w:sz w:val="12"/>
          <w:lang w:val="nl-BE"/>
        </w:rPr>
      </w:pPr>
    </w:p>
    <w:p w14:paraId="5C052B58" w14:textId="77777777" w:rsidR="008F61D1" w:rsidRPr="00E36C3A" w:rsidRDefault="008F61D1" w:rsidP="008F61D1">
      <w:pPr>
        <w:rPr>
          <w:sz w:val="12"/>
          <w:lang w:val="nl-BE"/>
        </w:rPr>
      </w:pPr>
      <w:r w:rsidRPr="00E36C3A">
        <w:rPr>
          <w:sz w:val="12"/>
          <w:lang w:val="nl-BE"/>
        </w:rPr>
        <w:t>De DNB is niet aansprakelijk voor iedere schade die het gevolg is van beschadigingen, afwijkingen of niet-</w:t>
      </w:r>
      <w:proofErr w:type="spellStart"/>
      <w:r w:rsidRPr="00E36C3A">
        <w:rPr>
          <w:sz w:val="12"/>
          <w:lang w:val="nl-BE"/>
        </w:rPr>
        <w:t>conformiteiten</w:t>
      </w:r>
      <w:proofErr w:type="spellEnd"/>
      <w:r w:rsidRPr="00E36C3A">
        <w:rPr>
          <w:sz w:val="12"/>
          <w:lang w:val="nl-BE"/>
        </w:rPr>
        <w:t xml:space="preserve"> op wettelijke, technische, contractuele of reglementaire voorschriften van de Aansluiting, die door de DNG niet of slechts laattijdig ter kennis gebracht werden aan de DNB volgens de verplichtingen van de DNG zoals opgenomen in het TRDG. De kennisgeving wordt geacht laattijdig te zijn wanneer deze niet gebeurde binnen de termijnen die door de DNB worden bepaald in de documenten betreffende de Aansluiting en, bij gebreke daaraan, indien deze niet gebeurde binnen een redelijke termijn nadat de DNG zelf kennis genomen heeft van deze beschadiging, afwijking of niet-conformiteit. </w:t>
      </w:r>
    </w:p>
    <w:p w14:paraId="4D5CBEB0" w14:textId="77777777" w:rsidR="008F61D1" w:rsidRPr="00E36C3A" w:rsidRDefault="008F61D1" w:rsidP="008F61D1">
      <w:pPr>
        <w:rPr>
          <w:sz w:val="12"/>
          <w:lang w:val="nl-BE"/>
        </w:rPr>
      </w:pPr>
    </w:p>
    <w:p w14:paraId="7A0C391B" w14:textId="77777777" w:rsidR="008F61D1" w:rsidRPr="00E36C3A" w:rsidRDefault="008F61D1" w:rsidP="001C0F03">
      <w:pPr>
        <w:pStyle w:val="Kop3"/>
      </w:pPr>
      <w:bookmarkStart w:id="43" w:name="_Toc422305026"/>
      <w:bookmarkStart w:id="44" w:name="_Toc422405280"/>
      <w:bookmarkStart w:id="45" w:name="_Toc425838671"/>
      <w:bookmarkStart w:id="46" w:name="_Toc466378819"/>
      <w:r w:rsidRPr="00E36C3A">
        <w:t>Verlenen van toegang aan de DNB</w:t>
      </w:r>
      <w:bookmarkEnd w:id="43"/>
      <w:bookmarkEnd w:id="44"/>
      <w:bookmarkEnd w:id="45"/>
      <w:bookmarkEnd w:id="46"/>
    </w:p>
    <w:p w14:paraId="41F7B27A" w14:textId="77777777" w:rsidR="008F61D1" w:rsidRPr="00E36C3A" w:rsidRDefault="008F61D1" w:rsidP="008F61D1">
      <w:pPr>
        <w:rPr>
          <w:sz w:val="12"/>
          <w:lang w:val="nl-BE"/>
        </w:rPr>
      </w:pPr>
      <w:r w:rsidRPr="00E36C3A">
        <w:rPr>
          <w:sz w:val="12"/>
          <w:lang w:val="nl-BE"/>
        </w:rPr>
        <w:t>De DNG garandeert op ieder ogenblik de toegankelijkheid tot installaties, conform de verplichtingen die daartoe op de DNG rusten ingevolge het TRDG.</w:t>
      </w:r>
    </w:p>
    <w:p w14:paraId="5686BAED" w14:textId="77777777" w:rsidR="008F61D1" w:rsidRPr="00E36C3A" w:rsidRDefault="008F61D1" w:rsidP="008F61D1">
      <w:pPr>
        <w:rPr>
          <w:sz w:val="12"/>
          <w:lang w:val="nl-BE"/>
        </w:rPr>
      </w:pPr>
    </w:p>
    <w:p w14:paraId="09BDF051" w14:textId="77777777" w:rsidR="008F61D1" w:rsidRPr="00E36C3A" w:rsidRDefault="008F61D1" w:rsidP="008F61D1">
      <w:pPr>
        <w:rPr>
          <w:sz w:val="12"/>
          <w:lang w:val="nl-BE"/>
        </w:rPr>
      </w:pPr>
      <w:r w:rsidRPr="00E36C3A">
        <w:rPr>
          <w:sz w:val="12"/>
          <w:lang w:val="nl-BE"/>
        </w:rPr>
        <w:t xml:space="preserve">De DNB is niet aansprakelijk voor een beschadiging van de Aansluiting die veroorzaakt is op een ogenblik waarop hij geen toegang had of kon hebben tot de Aansluiting of wanneer de DNG de verplichtingen inzake toegankelijkheid van zijn installaties en de Aansluiting (inclusief de Meetinrichting), zoals opgenomen in het TRDG, niet naleeft. </w:t>
      </w:r>
    </w:p>
    <w:p w14:paraId="56B8FB36" w14:textId="77777777" w:rsidR="008F61D1" w:rsidRPr="00E36C3A" w:rsidRDefault="008F61D1" w:rsidP="008F61D1">
      <w:pPr>
        <w:rPr>
          <w:sz w:val="12"/>
          <w:lang w:val="nl-BE"/>
        </w:rPr>
      </w:pPr>
    </w:p>
    <w:p w14:paraId="118A31C5" w14:textId="77777777" w:rsidR="008F61D1" w:rsidRPr="00E36C3A" w:rsidRDefault="008F61D1" w:rsidP="008F61D1">
      <w:pPr>
        <w:rPr>
          <w:sz w:val="12"/>
          <w:lang w:val="nl-BE"/>
        </w:rPr>
      </w:pPr>
      <w:r w:rsidRPr="00E36C3A">
        <w:rPr>
          <w:sz w:val="12"/>
          <w:lang w:val="nl-BE"/>
        </w:rPr>
        <w:t>Indien de veiligheidsvoorschriften van de DNG bijkomende investeringskosten met oog op de toegankelijkheid van diens Installaties en de Aansluiting (inclusief de Meetinrichting) veroorzaken, worden deze gedragen door de DNG.</w:t>
      </w:r>
    </w:p>
    <w:p w14:paraId="7DA3FC4C" w14:textId="77777777" w:rsidR="008F61D1" w:rsidRPr="00E36C3A" w:rsidRDefault="008F61D1" w:rsidP="008F61D1">
      <w:pPr>
        <w:rPr>
          <w:sz w:val="12"/>
          <w:lang w:val="nl-BE"/>
        </w:rPr>
      </w:pPr>
    </w:p>
    <w:p w14:paraId="1712F67C" w14:textId="77777777" w:rsidR="008F61D1" w:rsidRPr="00E36C3A" w:rsidRDefault="008F61D1" w:rsidP="001C0F03">
      <w:pPr>
        <w:pStyle w:val="Kop3"/>
      </w:pPr>
      <w:bookmarkStart w:id="47" w:name="_Toc425838672"/>
      <w:bookmarkStart w:id="48" w:name="_Toc466378820"/>
      <w:r w:rsidRPr="00E36C3A">
        <w:t xml:space="preserve">Geen beïnvloeding van </w:t>
      </w:r>
      <w:proofErr w:type="spellStart"/>
      <w:r w:rsidRPr="00E36C3A">
        <w:t>communicatie-apparatuur</w:t>
      </w:r>
      <w:bookmarkEnd w:id="47"/>
      <w:bookmarkEnd w:id="48"/>
      <w:proofErr w:type="spellEnd"/>
    </w:p>
    <w:p w14:paraId="4D86A4B9" w14:textId="77777777" w:rsidR="008F61D1" w:rsidRPr="00E36C3A" w:rsidRDefault="008F61D1" w:rsidP="008F61D1">
      <w:pPr>
        <w:rPr>
          <w:sz w:val="12"/>
          <w:lang w:val="nl-BE"/>
        </w:rPr>
      </w:pPr>
      <w:r w:rsidRPr="00E36C3A">
        <w:rPr>
          <w:sz w:val="12"/>
          <w:lang w:val="nl-BE"/>
        </w:rPr>
        <w:t xml:space="preserve">De DNG zal op geen enkele wijze de communicatie met en van de Meetinrichting nadelig beïnvloeden of onderbreken. De DNG waakt erover dat zijn installatie geen verstoring veroorzaakt van de goede werking van de signalen die de DNB gebruikt voor zijn communicatie </w:t>
      </w:r>
    </w:p>
    <w:p w14:paraId="416A3775" w14:textId="77777777" w:rsidR="008F61D1" w:rsidRPr="00E36C3A" w:rsidRDefault="008F61D1" w:rsidP="008F61D1">
      <w:pPr>
        <w:rPr>
          <w:sz w:val="12"/>
          <w:lang w:val="nl-BE"/>
        </w:rPr>
      </w:pPr>
    </w:p>
    <w:p w14:paraId="22DE4CB6" w14:textId="77777777" w:rsidR="008F61D1" w:rsidRPr="00E36C3A" w:rsidRDefault="008F61D1" w:rsidP="008F61D1">
      <w:pPr>
        <w:rPr>
          <w:sz w:val="12"/>
          <w:lang w:val="nl-BE"/>
        </w:rPr>
      </w:pPr>
      <w:r w:rsidRPr="00E36C3A">
        <w:rPr>
          <w:sz w:val="12"/>
          <w:lang w:val="nl-BE"/>
        </w:rPr>
        <w:t xml:space="preserve">De DNG draagt er zorg voor dat de communicatieopstelling door zijn toedoen niet beschadigd of onklaar geraakt. </w:t>
      </w:r>
    </w:p>
    <w:p w14:paraId="4531A75A" w14:textId="77777777" w:rsidR="008F61D1" w:rsidRPr="00E36C3A" w:rsidRDefault="008F61D1" w:rsidP="008F61D1">
      <w:pPr>
        <w:rPr>
          <w:sz w:val="12"/>
          <w:lang w:val="nl-BE"/>
        </w:rPr>
      </w:pPr>
    </w:p>
    <w:p w14:paraId="1CEDFB3E" w14:textId="77777777" w:rsidR="008F61D1" w:rsidRPr="00E36C3A" w:rsidRDefault="008F61D1" w:rsidP="008F61D1">
      <w:pPr>
        <w:rPr>
          <w:sz w:val="12"/>
          <w:lang w:val="nl-BE"/>
        </w:rPr>
      </w:pPr>
      <w:r w:rsidRPr="00E36C3A">
        <w:rPr>
          <w:sz w:val="12"/>
          <w:lang w:val="nl-BE"/>
        </w:rPr>
        <w:t xml:space="preserve">De DNG erkent het recht van de DNB om het voor de DNB meest optimale communicatiemedium, nodig om de data voor het uitvoeren van zijn taak als netbeheerder te verwerven (uit te wisselen), te installeren en uit te baten bij de DNG. </w:t>
      </w:r>
    </w:p>
    <w:p w14:paraId="70CC414D" w14:textId="77777777" w:rsidR="008F61D1" w:rsidRPr="00E36C3A" w:rsidRDefault="008F61D1" w:rsidP="008F61D1">
      <w:pPr>
        <w:rPr>
          <w:sz w:val="12"/>
          <w:lang w:val="nl-BE"/>
        </w:rPr>
      </w:pPr>
    </w:p>
    <w:p w14:paraId="66F2279F" w14:textId="77777777" w:rsidR="008F61D1" w:rsidRPr="00E36C3A" w:rsidRDefault="008F61D1" w:rsidP="008F61D1">
      <w:pPr>
        <w:rPr>
          <w:sz w:val="12"/>
          <w:lang w:val="nl-BE"/>
        </w:rPr>
      </w:pPr>
      <w:r w:rsidRPr="00E36C3A">
        <w:rPr>
          <w:sz w:val="12"/>
          <w:lang w:val="nl-BE"/>
        </w:rPr>
        <w:t>De bijkomende kosten verbonden aan de keuze van alternatieve communicatiekanalen op voorstel van de DNG of naar aanleiding van technische omstandigheden bij de DNG die het gebruik van het door de DNB voorgestelde communicatiekanaal onmogelijk maken, zijn ten laste van de DNG.</w:t>
      </w:r>
    </w:p>
    <w:p w14:paraId="72E6FA51" w14:textId="77777777" w:rsidR="008F61D1" w:rsidRPr="00E36C3A" w:rsidRDefault="008F61D1" w:rsidP="008F61D1">
      <w:pPr>
        <w:rPr>
          <w:rFonts w:cs="Arial"/>
          <w:sz w:val="12"/>
          <w:lang w:val="nl-BE"/>
        </w:rPr>
      </w:pPr>
    </w:p>
    <w:p w14:paraId="221DE36C" w14:textId="77777777" w:rsidR="008F61D1" w:rsidRPr="00E36C3A" w:rsidRDefault="008F61D1" w:rsidP="001C0F03">
      <w:pPr>
        <w:pStyle w:val="Kop3"/>
      </w:pPr>
      <w:bookmarkStart w:id="49" w:name="_Toc422305028"/>
      <w:bookmarkStart w:id="50" w:name="_Toc422405282"/>
      <w:bookmarkStart w:id="51" w:name="_Toc425838673"/>
      <w:bookmarkStart w:id="52" w:name="_Toc466378821"/>
      <w:r w:rsidRPr="00E36C3A">
        <w:t>Aanwezigheid van een toegangshouder</w:t>
      </w:r>
      <w:bookmarkEnd w:id="49"/>
      <w:bookmarkEnd w:id="50"/>
      <w:bookmarkEnd w:id="51"/>
      <w:bookmarkEnd w:id="52"/>
    </w:p>
    <w:p w14:paraId="6FAA7295" w14:textId="77777777" w:rsidR="008F61D1" w:rsidRPr="00E36C3A" w:rsidRDefault="008F61D1" w:rsidP="008F61D1">
      <w:pPr>
        <w:rPr>
          <w:sz w:val="12"/>
          <w:lang w:val="nl-BE"/>
        </w:rPr>
      </w:pPr>
      <w:r w:rsidRPr="00E36C3A">
        <w:rPr>
          <w:sz w:val="12"/>
          <w:lang w:val="nl-BE"/>
        </w:rPr>
        <w:t xml:space="preserve">Naast de verplichtingen met betrekking tot de fysieke Aansluiting is er conform het TRDG ook een administratieve verplichting die moet worden ingevuld alvorens tot de effectieve </w:t>
      </w:r>
      <w:proofErr w:type="spellStart"/>
      <w:r w:rsidRPr="00E36C3A">
        <w:rPr>
          <w:sz w:val="12"/>
          <w:lang w:val="nl-BE"/>
        </w:rPr>
        <w:t>indienstname</w:t>
      </w:r>
      <w:proofErr w:type="spellEnd"/>
      <w:r w:rsidRPr="00E36C3A">
        <w:rPr>
          <w:sz w:val="12"/>
          <w:lang w:val="nl-BE"/>
        </w:rPr>
        <w:t xml:space="preserve"> overgegaan kan worden of om de toegang tot het net te behouden. Wat de administratieve verplichting betreft moet de DNG, voor elk Toegangspunt horende bij de Aansluiting, beschikken over de nodige contracten met de Toegangshouders. Deze Toegangshouders staan op hun beurt in voor het verkrijgen van toegang tot het distributienet via het toegangscontract met de DNB. </w:t>
      </w:r>
    </w:p>
    <w:p w14:paraId="78FAC1DA" w14:textId="77777777" w:rsidR="008F61D1" w:rsidRPr="00E36C3A" w:rsidRDefault="008F61D1" w:rsidP="008F61D1">
      <w:pPr>
        <w:rPr>
          <w:sz w:val="12"/>
          <w:lang w:val="nl-BE"/>
        </w:rPr>
      </w:pPr>
    </w:p>
    <w:p w14:paraId="46EBAE9F" w14:textId="77777777" w:rsidR="008F61D1" w:rsidRPr="00E36C3A" w:rsidRDefault="008F61D1" w:rsidP="008F61D1">
      <w:pPr>
        <w:rPr>
          <w:sz w:val="12"/>
          <w:lang w:val="nl-BE"/>
        </w:rPr>
      </w:pPr>
      <w:r w:rsidRPr="00E36C3A">
        <w:rPr>
          <w:sz w:val="12"/>
          <w:lang w:val="nl-BE"/>
        </w:rPr>
        <w:t xml:space="preserve">Voor elke contractuele relatie tussen DNG en toegangshouder, moet de toegangshouder beschikken over de nodige contracten met de DNB enerzijds en de bevrachter anderzijds, om de toegang tot, en het evenwicht op het net te vrijwaren. </w:t>
      </w:r>
    </w:p>
    <w:p w14:paraId="5A96EF4A" w14:textId="77777777" w:rsidR="008F61D1" w:rsidRPr="00E36C3A" w:rsidRDefault="008F61D1" w:rsidP="008F61D1">
      <w:pPr>
        <w:rPr>
          <w:sz w:val="12"/>
          <w:lang w:val="nl-BE"/>
        </w:rPr>
      </w:pPr>
    </w:p>
    <w:p w14:paraId="6B66C871" w14:textId="77777777" w:rsidR="008F61D1" w:rsidRPr="00E36C3A" w:rsidRDefault="008F61D1" w:rsidP="008F61D1">
      <w:pPr>
        <w:rPr>
          <w:sz w:val="12"/>
          <w:lang w:val="nl-BE"/>
        </w:rPr>
      </w:pPr>
      <w:r w:rsidRPr="00E36C3A">
        <w:rPr>
          <w:sz w:val="12"/>
          <w:lang w:val="nl-BE"/>
        </w:rPr>
        <w:t xml:space="preserve">De Toegangshouder meldt zich hiervoor aan bij de DNB voor het Toegangspunt in kwestie. Indien op het Toegangspunt op het distributienet geen Toegangshouder geregistreerd is in het Toegangsregister heeft de DNB het recht de Aansluiting buiten dienst te stellen, na voorafgaande schriftelijke verwittiging en motivatie van de DNG en rekening houdend met de geldende wettelijke bepalingen. </w:t>
      </w:r>
    </w:p>
    <w:p w14:paraId="612479BB" w14:textId="77777777" w:rsidR="008F61D1" w:rsidRPr="00E36C3A" w:rsidRDefault="008F61D1" w:rsidP="008F61D1">
      <w:pPr>
        <w:rPr>
          <w:sz w:val="12"/>
          <w:lang w:val="nl-BE"/>
        </w:rPr>
      </w:pPr>
    </w:p>
    <w:p w14:paraId="4F5EDD50" w14:textId="77777777" w:rsidR="008F61D1" w:rsidRPr="00E36C3A" w:rsidRDefault="008F61D1" w:rsidP="008F61D1">
      <w:pPr>
        <w:rPr>
          <w:sz w:val="12"/>
          <w:lang w:val="nl-BE"/>
        </w:rPr>
      </w:pPr>
      <w:r w:rsidRPr="00E36C3A">
        <w:rPr>
          <w:sz w:val="12"/>
          <w:lang w:val="nl-BE"/>
        </w:rPr>
        <w:t>De DNB is gerechtigd het verbruik en alle kosten en schade die verband houden met het gebruik van het Toegangspunt zonder te beschikken over de benodigde geldige contracten, aan te rekenen aan de DNG.</w:t>
      </w:r>
    </w:p>
    <w:p w14:paraId="055D32DD" w14:textId="77777777" w:rsidR="008F61D1" w:rsidRPr="00E36C3A" w:rsidRDefault="008F61D1" w:rsidP="008F61D1">
      <w:pPr>
        <w:rPr>
          <w:sz w:val="12"/>
          <w:lang w:val="nl-BE"/>
        </w:rPr>
      </w:pPr>
    </w:p>
    <w:p w14:paraId="6374F1DE" w14:textId="77777777" w:rsidR="008F61D1" w:rsidRPr="00E36C3A" w:rsidRDefault="008F61D1" w:rsidP="008F61D1">
      <w:pPr>
        <w:pStyle w:val="Kop2"/>
        <w:keepNext/>
        <w:keepLines/>
        <w:numPr>
          <w:ilvl w:val="1"/>
          <w:numId w:val="7"/>
        </w:numPr>
        <w:autoSpaceDE/>
        <w:autoSpaceDN/>
        <w:adjustRightInd/>
        <w:spacing w:before="200"/>
        <w:ind w:left="567" w:hanging="567"/>
        <w:jc w:val="both"/>
        <w:rPr>
          <w:rFonts w:eastAsiaTheme="majorEastAsia" w:cs="Arial"/>
          <w:sz w:val="14"/>
          <w:szCs w:val="22"/>
          <w:lang w:val="nl-BE"/>
        </w:rPr>
      </w:pPr>
      <w:bookmarkStart w:id="53" w:name="_Toc425838674"/>
      <w:bookmarkStart w:id="54" w:name="_Toc466378822"/>
      <w:proofErr w:type="spellStart"/>
      <w:r w:rsidRPr="00E36C3A">
        <w:rPr>
          <w:rFonts w:eastAsiaTheme="majorEastAsia" w:cs="Arial"/>
          <w:sz w:val="14"/>
          <w:szCs w:val="22"/>
          <w:lang w:val="nl-BE"/>
        </w:rPr>
        <w:lastRenderedPageBreak/>
        <w:t>Wegname</w:t>
      </w:r>
      <w:proofErr w:type="spellEnd"/>
      <w:r w:rsidRPr="00E36C3A">
        <w:rPr>
          <w:rFonts w:eastAsiaTheme="majorEastAsia" w:cs="Arial"/>
          <w:sz w:val="14"/>
          <w:szCs w:val="22"/>
          <w:lang w:val="nl-BE"/>
        </w:rPr>
        <w:t xml:space="preserve"> van een ongebruikte aansluiting</w:t>
      </w:r>
      <w:bookmarkEnd w:id="53"/>
      <w:bookmarkEnd w:id="54"/>
      <w:r w:rsidRPr="00E36C3A">
        <w:rPr>
          <w:rFonts w:eastAsiaTheme="majorEastAsia" w:cs="Arial"/>
          <w:sz w:val="14"/>
          <w:szCs w:val="22"/>
          <w:lang w:val="nl-BE"/>
        </w:rPr>
        <w:t xml:space="preserve"> </w:t>
      </w:r>
    </w:p>
    <w:p w14:paraId="186FCA96" w14:textId="77777777" w:rsidR="008F61D1" w:rsidRPr="00E36C3A" w:rsidRDefault="008F61D1" w:rsidP="008F61D1">
      <w:pPr>
        <w:rPr>
          <w:sz w:val="12"/>
          <w:lang w:val="nl-BE"/>
        </w:rPr>
      </w:pPr>
      <w:r w:rsidRPr="00E36C3A">
        <w:rPr>
          <w:sz w:val="12"/>
          <w:lang w:val="nl-BE"/>
        </w:rPr>
        <w:t xml:space="preserve">Conform het TRDG heeft de DNB het recht om een Aansluiting weg te nemen of af te koppelen indien hij vaststelt dat deze meer dan een jaar ongebruikt is, en na overleg met de DNG. De DNB kan ook vroeger tot deze </w:t>
      </w:r>
      <w:proofErr w:type="spellStart"/>
      <w:r w:rsidRPr="00E36C3A">
        <w:rPr>
          <w:sz w:val="12"/>
          <w:lang w:val="nl-BE"/>
        </w:rPr>
        <w:t>wegname</w:t>
      </w:r>
      <w:proofErr w:type="spellEnd"/>
      <w:r w:rsidRPr="00E36C3A">
        <w:rPr>
          <w:sz w:val="12"/>
          <w:lang w:val="nl-BE"/>
        </w:rPr>
        <w:t xml:space="preserve"> overgaan indien hij motiveert dat de ongebruikte Aansluiting een risico vormt voor de veiligheid of voor de goede werking van het Distributienet. </w:t>
      </w:r>
    </w:p>
    <w:p w14:paraId="13BB966A" w14:textId="77777777" w:rsidR="008F61D1" w:rsidRPr="00E36C3A" w:rsidRDefault="008F61D1" w:rsidP="008F61D1">
      <w:pPr>
        <w:rPr>
          <w:sz w:val="12"/>
          <w:lang w:val="nl-BE"/>
        </w:rPr>
      </w:pPr>
      <w:r w:rsidRPr="00E36C3A">
        <w:rPr>
          <w:sz w:val="12"/>
          <w:lang w:val="nl-BE"/>
        </w:rPr>
        <w:t xml:space="preserve"> </w:t>
      </w:r>
    </w:p>
    <w:p w14:paraId="1E8623A5" w14:textId="77777777" w:rsidR="008F61D1" w:rsidRPr="00E36C3A" w:rsidRDefault="008F61D1" w:rsidP="008F61D1">
      <w:pPr>
        <w:rPr>
          <w:sz w:val="12"/>
          <w:lang w:val="nl-BE"/>
        </w:rPr>
      </w:pPr>
      <w:r w:rsidRPr="00E36C3A">
        <w:rPr>
          <w:sz w:val="12"/>
          <w:lang w:val="nl-BE"/>
        </w:rPr>
        <w:t xml:space="preserve">Indien de DNG deze </w:t>
      </w:r>
      <w:proofErr w:type="spellStart"/>
      <w:r w:rsidRPr="00E36C3A">
        <w:rPr>
          <w:sz w:val="12"/>
          <w:lang w:val="nl-BE"/>
        </w:rPr>
        <w:t>wegname</w:t>
      </w:r>
      <w:proofErr w:type="spellEnd"/>
      <w:r w:rsidRPr="00E36C3A">
        <w:rPr>
          <w:sz w:val="12"/>
          <w:lang w:val="nl-BE"/>
        </w:rPr>
        <w:t xml:space="preserve"> wil vermijden, moet hij in het voorafgaand overleg met de DNB motiveren dat hij in de toekomst de Aansluiting opnieuw zal gebruiken, en inmiddels zijn verplichtingen tegenover de DNB zal blijven naleven. Dit betreft zowel de financiële verplichtingen als  de andere verplichtingen met betrekking tot het beheer van de Aansluiting zoals hierboven beschreven. </w:t>
      </w:r>
    </w:p>
    <w:p w14:paraId="1B124131" w14:textId="77777777" w:rsidR="008F61D1" w:rsidRPr="00E36C3A" w:rsidRDefault="008F61D1" w:rsidP="008F61D1">
      <w:pPr>
        <w:rPr>
          <w:sz w:val="12"/>
          <w:lang w:val="nl-BE"/>
        </w:rPr>
      </w:pPr>
    </w:p>
    <w:p w14:paraId="265BBCE2" w14:textId="77777777" w:rsidR="008F61D1" w:rsidRPr="00E36C3A" w:rsidRDefault="008F61D1" w:rsidP="008F61D1">
      <w:pPr>
        <w:rPr>
          <w:rFonts w:cs="Arial"/>
          <w:sz w:val="12"/>
          <w:lang w:val="nl-BE"/>
        </w:rPr>
      </w:pPr>
      <w:r w:rsidRPr="00E36C3A">
        <w:rPr>
          <w:sz w:val="12"/>
          <w:lang w:val="nl-BE"/>
        </w:rPr>
        <w:t xml:space="preserve">De kosten voor de </w:t>
      </w:r>
      <w:proofErr w:type="spellStart"/>
      <w:r w:rsidRPr="00E36C3A">
        <w:rPr>
          <w:sz w:val="12"/>
          <w:lang w:val="nl-BE"/>
        </w:rPr>
        <w:t>wegname</w:t>
      </w:r>
      <w:proofErr w:type="spellEnd"/>
      <w:r w:rsidRPr="00E36C3A">
        <w:rPr>
          <w:sz w:val="12"/>
          <w:lang w:val="nl-BE"/>
        </w:rPr>
        <w:t xml:space="preserve"> van de Aansluiting worden aangerekend aan de DNG.</w:t>
      </w:r>
    </w:p>
    <w:p w14:paraId="2869F9E7" w14:textId="77777777" w:rsidR="008F61D1" w:rsidRPr="00E36C3A" w:rsidRDefault="008F61D1" w:rsidP="008F61D1">
      <w:pPr>
        <w:rPr>
          <w:sz w:val="12"/>
          <w:lang w:val="nl-BE"/>
        </w:rPr>
      </w:pPr>
    </w:p>
    <w:p w14:paraId="04A4D78E" w14:textId="77777777" w:rsidR="008F61D1" w:rsidRPr="00E36C3A" w:rsidRDefault="008F61D1" w:rsidP="008F61D1">
      <w:pPr>
        <w:pStyle w:val="Kop1"/>
        <w:keepLines/>
        <w:numPr>
          <w:ilvl w:val="0"/>
          <w:numId w:val="7"/>
        </w:numPr>
        <w:shd w:val="clear" w:color="auto" w:fill="D9D9D9" w:themeFill="background1" w:themeFillShade="D9"/>
        <w:autoSpaceDE/>
        <w:autoSpaceDN/>
        <w:adjustRightInd/>
        <w:spacing w:before="480" w:after="240"/>
        <w:ind w:left="1418" w:hanging="1418"/>
        <w:jc w:val="both"/>
        <w:rPr>
          <w:rFonts w:eastAsiaTheme="majorEastAsia" w:cs="Arial"/>
          <w:b/>
          <w:bCs/>
          <w:i w:val="0"/>
          <w:iCs w:val="0"/>
          <w:sz w:val="16"/>
          <w:szCs w:val="24"/>
          <w:lang w:val="nl-BE"/>
        </w:rPr>
      </w:pPr>
      <w:bookmarkStart w:id="55" w:name="_Toc422305030"/>
      <w:bookmarkStart w:id="56" w:name="_Toc422405284"/>
      <w:bookmarkStart w:id="57" w:name="_Ref442269419"/>
      <w:bookmarkStart w:id="58" w:name="_Ref457915186"/>
      <w:bookmarkStart w:id="59" w:name="_Toc425838675"/>
      <w:bookmarkStart w:id="60" w:name="_Ref459972283"/>
      <w:bookmarkStart w:id="61" w:name="_Ref460226550"/>
      <w:bookmarkStart w:id="62" w:name="_Toc466378823"/>
      <w:r w:rsidRPr="00E36C3A">
        <w:rPr>
          <w:rFonts w:eastAsiaTheme="majorEastAsia" w:cs="Arial"/>
          <w:b/>
          <w:bCs/>
          <w:i w:val="0"/>
          <w:iCs w:val="0"/>
          <w:sz w:val="16"/>
          <w:szCs w:val="24"/>
          <w:lang w:val="nl-BE"/>
        </w:rPr>
        <w:t xml:space="preserve">Wijzigingen aan de Aansluiting of </w:t>
      </w:r>
      <w:proofErr w:type="spellStart"/>
      <w:r w:rsidRPr="00E36C3A">
        <w:rPr>
          <w:rFonts w:eastAsiaTheme="majorEastAsia" w:cs="Arial"/>
          <w:b/>
          <w:bCs/>
          <w:i w:val="0"/>
          <w:iCs w:val="0"/>
          <w:sz w:val="16"/>
          <w:szCs w:val="24"/>
          <w:lang w:val="nl-BE"/>
        </w:rPr>
        <w:t>binneninstallatie</w:t>
      </w:r>
      <w:proofErr w:type="spellEnd"/>
      <w:r w:rsidRPr="00E36C3A">
        <w:rPr>
          <w:rFonts w:eastAsiaTheme="majorEastAsia" w:cs="Arial"/>
          <w:b/>
          <w:bCs/>
          <w:i w:val="0"/>
          <w:iCs w:val="0"/>
          <w:sz w:val="16"/>
          <w:szCs w:val="24"/>
          <w:lang w:val="nl-BE"/>
        </w:rPr>
        <w:t xml:space="preserve"> met impact op het Distributienet</w:t>
      </w:r>
      <w:bookmarkEnd w:id="55"/>
      <w:bookmarkEnd w:id="56"/>
      <w:bookmarkEnd w:id="57"/>
      <w:bookmarkEnd w:id="58"/>
      <w:bookmarkEnd w:id="59"/>
      <w:bookmarkEnd w:id="60"/>
      <w:bookmarkEnd w:id="61"/>
      <w:bookmarkEnd w:id="62"/>
    </w:p>
    <w:p w14:paraId="42EE24BF" w14:textId="77777777" w:rsidR="008F61D1" w:rsidRPr="00E36C3A" w:rsidRDefault="008F61D1" w:rsidP="008F61D1">
      <w:pPr>
        <w:rPr>
          <w:sz w:val="12"/>
          <w:lang w:val="nl-BE"/>
        </w:rPr>
      </w:pPr>
      <w:r w:rsidRPr="00E36C3A">
        <w:rPr>
          <w:sz w:val="12"/>
          <w:lang w:val="nl-BE"/>
        </w:rPr>
        <w:t>De DNG doet een aanvraag bij de DNB indien hij wijzigingen wenst uit te voeren aan de Aansluiting of aan zijn installaties, die een niet-verwaarloosbare invloed kunnen hebben op de Aansluiting of het distributienet, namelijk:</w:t>
      </w:r>
    </w:p>
    <w:p w14:paraId="45049C23" w14:textId="77777777" w:rsidR="008F61D1" w:rsidRPr="00E36C3A" w:rsidRDefault="008F61D1" w:rsidP="008F61D1">
      <w:pPr>
        <w:rPr>
          <w:sz w:val="12"/>
          <w:lang w:val="nl-BE"/>
        </w:rPr>
      </w:pPr>
    </w:p>
    <w:p w14:paraId="5CE6C201" w14:textId="77777777" w:rsidR="008F61D1" w:rsidRPr="00E36C3A" w:rsidRDefault="008F61D1" w:rsidP="008F61D1">
      <w:pPr>
        <w:pStyle w:val="Lijstalinea"/>
        <w:numPr>
          <w:ilvl w:val="0"/>
          <w:numId w:val="6"/>
        </w:numPr>
        <w:adjustRightInd/>
        <w:contextualSpacing w:val="0"/>
        <w:rPr>
          <w:sz w:val="12"/>
          <w:lang w:val="nl-BE"/>
        </w:rPr>
      </w:pPr>
      <w:r w:rsidRPr="00E36C3A">
        <w:rPr>
          <w:sz w:val="12"/>
          <w:lang w:val="nl-BE"/>
        </w:rPr>
        <w:t>een wijziging van de contractuele afnamecapaciteit of contractuele leveringsdruk;</w:t>
      </w:r>
    </w:p>
    <w:p w14:paraId="1BAD91A8" w14:textId="77777777" w:rsidR="008F61D1" w:rsidRPr="00E36C3A" w:rsidRDefault="008F61D1" w:rsidP="008F61D1">
      <w:pPr>
        <w:pStyle w:val="Lijstalinea"/>
        <w:numPr>
          <w:ilvl w:val="0"/>
          <w:numId w:val="6"/>
        </w:numPr>
        <w:adjustRightInd/>
        <w:contextualSpacing w:val="0"/>
        <w:rPr>
          <w:sz w:val="12"/>
          <w:lang w:val="nl-BE"/>
        </w:rPr>
      </w:pPr>
      <w:r w:rsidRPr="00E36C3A">
        <w:rPr>
          <w:sz w:val="12"/>
          <w:lang w:val="nl-BE"/>
        </w:rPr>
        <w:t>een verplaatsing van de Aansluiting;</w:t>
      </w:r>
    </w:p>
    <w:p w14:paraId="6CB9A615" w14:textId="77777777" w:rsidR="008F61D1" w:rsidRPr="00E36C3A" w:rsidRDefault="008F61D1" w:rsidP="008F61D1">
      <w:pPr>
        <w:pStyle w:val="Lijstalinea"/>
        <w:numPr>
          <w:ilvl w:val="0"/>
          <w:numId w:val="6"/>
        </w:numPr>
        <w:adjustRightInd/>
        <w:contextualSpacing w:val="0"/>
        <w:rPr>
          <w:sz w:val="12"/>
          <w:lang w:val="nl-BE"/>
        </w:rPr>
      </w:pPr>
      <w:r w:rsidRPr="00E36C3A">
        <w:rPr>
          <w:sz w:val="12"/>
          <w:lang w:val="nl-BE"/>
        </w:rPr>
        <w:t>het plaatsen of aanpassen van installaties voor injectie van  gas</w:t>
      </w:r>
    </w:p>
    <w:p w14:paraId="29255B7B" w14:textId="77777777" w:rsidR="008F61D1" w:rsidRPr="00E36C3A" w:rsidRDefault="008F61D1" w:rsidP="008F61D1">
      <w:pPr>
        <w:pStyle w:val="Lijstalinea"/>
        <w:numPr>
          <w:ilvl w:val="0"/>
          <w:numId w:val="6"/>
        </w:numPr>
        <w:adjustRightInd/>
        <w:contextualSpacing w:val="0"/>
        <w:rPr>
          <w:sz w:val="12"/>
          <w:lang w:val="nl-BE"/>
        </w:rPr>
      </w:pPr>
      <w:r w:rsidRPr="00E36C3A">
        <w:rPr>
          <w:sz w:val="12"/>
          <w:lang w:val="nl-BE"/>
        </w:rPr>
        <w:t>de aanleg van leidingen die de eigen site overschrijden of de openbare weg betreden, zoals bijvoorbeeld directe leidingen.</w:t>
      </w:r>
    </w:p>
    <w:p w14:paraId="19334E3C" w14:textId="77777777" w:rsidR="008F61D1" w:rsidRPr="00E36C3A" w:rsidRDefault="008F61D1" w:rsidP="008F61D1">
      <w:pPr>
        <w:pStyle w:val="Lijstalinea"/>
        <w:numPr>
          <w:ilvl w:val="0"/>
          <w:numId w:val="6"/>
        </w:numPr>
        <w:adjustRightInd/>
        <w:contextualSpacing w:val="0"/>
        <w:rPr>
          <w:sz w:val="12"/>
          <w:lang w:val="nl-BE"/>
        </w:rPr>
      </w:pPr>
      <w:r w:rsidRPr="00E36C3A">
        <w:rPr>
          <w:sz w:val="12"/>
          <w:lang w:val="nl-BE"/>
        </w:rPr>
        <w:t>Een wijziging of uitbreiding van het type afnametoepassingen, waarbij een onderverdeling gemaakt wordt tussen volgende types:</w:t>
      </w:r>
    </w:p>
    <w:p w14:paraId="604D1163" w14:textId="77777777" w:rsidR="008F61D1" w:rsidRPr="00E36C3A" w:rsidRDefault="008F61D1" w:rsidP="008F61D1">
      <w:pPr>
        <w:pStyle w:val="Lijstalinea"/>
        <w:numPr>
          <w:ilvl w:val="1"/>
          <w:numId w:val="6"/>
        </w:numPr>
        <w:adjustRightInd/>
        <w:contextualSpacing w:val="0"/>
        <w:rPr>
          <w:sz w:val="12"/>
        </w:rPr>
      </w:pPr>
      <w:proofErr w:type="spellStart"/>
      <w:r w:rsidRPr="00E36C3A">
        <w:rPr>
          <w:sz w:val="12"/>
        </w:rPr>
        <w:t>verwarming</w:t>
      </w:r>
      <w:proofErr w:type="spellEnd"/>
      <w:r w:rsidRPr="00E36C3A">
        <w:rPr>
          <w:sz w:val="12"/>
        </w:rPr>
        <w:t xml:space="preserve"> (</w:t>
      </w:r>
      <w:proofErr w:type="spellStart"/>
      <w:r w:rsidRPr="00E36C3A">
        <w:rPr>
          <w:sz w:val="12"/>
        </w:rPr>
        <w:t>excl</w:t>
      </w:r>
      <w:proofErr w:type="spellEnd"/>
      <w:r w:rsidRPr="00E36C3A">
        <w:rPr>
          <w:sz w:val="12"/>
        </w:rPr>
        <w:t xml:space="preserve"> WKK);</w:t>
      </w:r>
    </w:p>
    <w:p w14:paraId="07A0E8A5" w14:textId="77777777" w:rsidR="008F61D1" w:rsidRPr="00E36C3A" w:rsidRDefault="008F61D1" w:rsidP="008F61D1">
      <w:pPr>
        <w:pStyle w:val="Lijstalinea"/>
        <w:numPr>
          <w:ilvl w:val="1"/>
          <w:numId w:val="6"/>
        </w:numPr>
        <w:adjustRightInd/>
        <w:contextualSpacing w:val="0"/>
        <w:rPr>
          <w:sz w:val="12"/>
        </w:rPr>
      </w:pPr>
      <w:proofErr w:type="spellStart"/>
      <w:r w:rsidRPr="00E36C3A">
        <w:rPr>
          <w:sz w:val="12"/>
        </w:rPr>
        <w:t>industriëel</w:t>
      </w:r>
      <w:proofErr w:type="spellEnd"/>
      <w:r w:rsidRPr="00E36C3A">
        <w:rPr>
          <w:sz w:val="12"/>
        </w:rPr>
        <w:t xml:space="preserve"> </w:t>
      </w:r>
      <w:proofErr w:type="spellStart"/>
      <w:r w:rsidRPr="00E36C3A">
        <w:rPr>
          <w:sz w:val="12"/>
        </w:rPr>
        <w:t>productieproces</w:t>
      </w:r>
      <w:proofErr w:type="spellEnd"/>
      <w:r w:rsidRPr="00E36C3A">
        <w:rPr>
          <w:sz w:val="12"/>
        </w:rPr>
        <w:t xml:space="preserve"> (</w:t>
      </w:r>
      <w:proofErr w:type="spellStart"/>
      <w:r w:rsidRPr="00E36C3A">
        <w:rPr>
          <w:sz w:val="12"/>
        </w:rPr>
        <w:t>excl</w:t>
      </w:r>
      <w:proofErr w:type="spellEnd"/>
      <w:r w:rsidRPr="00E36C3A">
        <w:rPr>
          <w:sz w:val="12"/>
        </w:rPr>
        <w:t xml:space="preserve"> WKK);</w:t>
      </w:r>
    </w:p>
    <w:p w14:paraId="4309C813" w14:textId="77777777" w:rsidR="008F61D1" w:rsidRPr="00E36C3A" w:rsidRDefault="008F61D1" w:rsidP="008F61D1">
      <w:pPr>
        <w:pStyle w:val="Lijstalinea"/>
        <w:numPr>
          <w:ilvl w:val="1"/>
          <w:numId w:val="6"/>
        </w:numPr>
        <w:adjustRightInd/>
        <w:contextualSpacing w:val="0"/>
        <w:rPr>
          <w:sz w:val="12"/>
        </w:rPr>
      </w:pPr>
      <w:r w:rsidRPr="00E36C3A">
        <w:rPr>
          <w:sz w:val="12"/>
        </w:rPr>
        <w:t xml:space="preserve">WKK </w:t>
      </w:r>
      <w:proofErr w:type="spellStart"/>
      <w:r w:rsidRPr="00E36C3A">
        <w:rPr>
          <w:sz w:val="12"/>
        </w:rPr>
        <w:t>voor</w:t>
      </w:r>
      <w:proofErr w:type="spellEnd"/>
      <w:r w:rsidRPr="00E36C3A">
        <w:rPr>
          <w:sz w:val="12"/>
        </w:rPr>
        <w:t xml:space="preserve"> </w:t>
      </w:r>
      <w:proofErr w:type="spellStart"/>
      <w:r w:rsidRPr="00E36C3A">
        <w:rPr>
          <w:sz w:val="12"/>
        </w:rPr>
        <w:t>verwarming</w:t>
      </w:r>
      <w:proofErr w:type="spellEnd"/>
      <w:r w:rsidRPr="00E36C3A">
        <w:rPr>
          <w:sz w:val="12"/>
        </w:rPr>
        <w:t>;</w:t>
      </w:r>
    </w:p>
    <w:p w14:paraId="694D5B57" w14:textId="77777777" w:rsidR="008F61D1" w:rsidRPr="00E36C3A" w:rsidRDefault="008F61D1" w:rsidP="008F61D1">
      <w:pPr>
        <w:pStyle w:val="Lijstalinea"/>
        <w:numPr>
          <w:ilvl w:val="1"/>
          <w:numId w:val="6"/>
        </w:numPr>
        <w:adjustRightInd/>
        <w:contextualSpacing w:val="0"/>
        <w:rPr>
          <w:sz w:val="12"/>
        </w:rPr>
      </w:pPr>
      <w:r w:rsidRPr="00E36C3A">
        <w:rPr>
          <w:sz w:val="12"/>
        </w:rPr>
        <w:t xml:space="preserve">WKK </w:t>
      </w:r>
      <w:proofErr w:type="spellStart"/>
      <w:r w:rsidRPr="00E36C3A">
        <w:rPr>
          <w:sz w:val="12"/>
        </w:rPr>
        <w:t>voor</w:t>
      </w:r>
      <w:proofErr w:type="spellEnd"/>
      <w:r w:rsidRPr="00E36C3A">
        <w:rPr>
          <w:sz w:val="12"/>
        </w:rPr>
        <w:t xml:space="preserve"> </w:t>
      </w:r>
      <w:proofErr w:type="spellStart"/>
      <w:r w:rsidRPr="00E36C3A">
        <w:rPr>
          <w:sz w:val="12"/>
        </w:rPr>
        <w:t>industrieel</w:t>
      </w:r>
      <w:proofErr w:type="spellEnd"/>
      <w:r w:rsidRPr="00E36C3A">
        <w:rPr>
          <w:sz w:val="12"/>
        </w:rPr>
        <w:t xml:space="preserve"> </w:t>
      </w:r>
      <w:proofErr w:type="spellStart"/>
      <w:r w:rsidRPr="00E36C3A">
        <w:rPr>
          <w:sz w:val="12"/>
        </w:rPr>
        <w:t>productieproces</w:t>
      </w:r>
      <w:proofErr w:type="spellEnd"/>
      <w:r w:rsidRPr="00E36C3A">
        <w:rPr>
          <w:sz w:val="12"/>
        </w:rPr>
        <w:t>;</w:t>
      </w:r>
    </w:p>
    <w:p w14:paraId="57B5FBA9" w14:textId="77777777" w:rsidR="008F61D1" w:rsidRPr="00E36C3A" w:rsidRDefault="008F61D1" w:rsidP="008F61D1">
      <w:pPr>
        <w:pStyle w:val="Lijstalinea"/>
        <w:numPr>
          <w:ilvl w:val="1"/>
          <w:numId w:val="6"/>
        </w:numPr>
        <w:adjustRightInd/>
        <w:contextualSpacing w:val="0"/>
        <w:rPr>
          <w:sz w:val="12"/>
        </w:rPr>
      </w:pPr>
      <w:proofErr w:type="spellStart"/>
      <w:r w:rsidRPr="00E36C3A">
        <w:rPr>
          <w:sz w:val="12"/>
        </w:rPr>
        <w:t>aanmaak</w:t>
      </w:r>
      <w:proofErr w:type="spellEnd"/>
      <w:r w:rsidRPr="00E36C3A">
        <w:rPr>
          <w:sz w:val="12"/>
        </w:rPr>
        <w:t xml:space="preserve"> CNG;</w:t>
      </w:r>
    </w:p>
    <w:p w14:paraId="7B84612D" w14:textId="77777777" w:rsidR="008F61D1" w:rsidRPr="00E36C3A" w:rsidRDefault="008F61D1" w:rsidP="008F61D1">
      <w:pPr>
        <w:pStyle w:val="Lijstalinea"/>
        <w:numPr>
          <w:ilvl w:val="1"/>
          <w:numId w:val="6"/>
        </w:numPr>
        <w:adjustRightInd/>
        <w:contextualSpacing w:val="0"/>
        <w:rPr>
          <w:sz w:val="12"/>
        </w:rPr>
      </w:pPr>
      <w:proofErr w:type="spellStart"/>
      <w:r w:rsidRPr="00E36C3A">
        <w:rPr>
          <w:sz w:val="12"/>
        </w:rPr>
        <w:t>andere</w:t>
      </w:r>
      <w:proofErr w:type="spellEnd"/>
      <w:r w:rsidRPr="00E36C3A">
        <w:rPr>
          <w:sz w:val="12"/>
        </w:rPr>
        <w:t>.</w:t>
      </w:r>
    </w:p>
    <w:p w14:paraId="2090F2EF" w14:textId="77777777" w:rsidR="008F61D1" w:rsidRPr="00E36C3A" w:rsidRDefault="008F61D1" w:rsidP="008F61D1">
      <w:pPr>
        <w:rPr>
          <w:sz w:val="12"/>
        </w:rPr>
      </w:pPr>
    </w:p>
    <w:p w14:paraId="73C490C4" w14:textId="77777777" w:rsidR="008F61D1" w:rsidRPr="00E36C3A" w:rsidRDefault="008F61D1" w:rsidP="008F61D1">
      <w:pPr>
        <w:rPr>
          <w:sz w:val="12"/>
          <w:lang w:val="nl-BE"/>
        </w:rPr>
      </w:pPr>
      <w:r w:rsidRPr="00E36C3A">
        <w:rPr>
          <w:sz w:val="12"/>
          <w:lang w:val="nl-BE"/>
        </w:rPr>
        <w:t xml:space="preserve">De DNG kan deze aanvraag aan de DNB uitbesteden aan een andere partij, indien deze door de DNG gemandateerd is. </w:t>
      </w:r>
    </w:p>
    <w:p w14:paraId="56F29627" w14:textId="77777777" w:rsidR="008F61D1" w:rsidRPr="00E36C3A" w:rsidRDefault="008F61D1" w:rsidP="008F61D1">
      <w:pPr>
        <w:rPr>
          <w:sz w:val="12"/>
          <w:lang w:val="nl-BE"/>
        </w:rPr>
      </w:pPr>
    </w:p>
    <w:p w14:paraId="33774630" w14:textId="77777777" w:rsidR="008F61D1" w:rsidRPr="00E36C3A" w:rsidRDefault="008F61D1" w:rsidP="008F61D1">
      <w:pPr>
        <w:rPr>
          <w:sz w:val="12"/>
          <w:lang w:val="nl-BE"/>
        </w:rPr>
      </w:pPr>
      <w:r w:rsidRPr="00E36C3A">
        <w:rPr>
          <w:sz w:val="12"/>
          <w:lang w:val="nl-BE"/>
        </w:rPr>
        <w:t>De DNB zal de ontvangst van deze aanvraag bevestigen aan de DNG of zijn gemandateerde, en meedelen of de aangevraagde wijziging al dan niet aanleiding geeft tot:</w:t>
      </w:r>
    </w:p>
    <w:p w14:paraId="01CC681F" w14:textId="77777777" w:rsidR="008F61D1" w:rsidRPr="00E36C3A" w:rsidRDefault="008F61D1" w:rsidP="008F61D1">
      <w:pPr>
        <w:rPr>
          <w:sz w:val="12"/>
          <w:lang w:val="nl-BE"/>
        </w:rPr>
      </w:pPr>
    </w:p>
    <w:p w14:paraId="19C32815" w14:textId="77777777" w:rsidR="008F61D1" w:rsidRPr="00E36C3A" w:rsidRDefault="008F61D1" w:rsidP="008F61D1">
      <w:pPr>
        <w:pStyle w:val="Lijstalinea"/>
        <w:numPr>
          <w:ilvl w:val="0"/>
          <w:numId w:val="6"/>
        </w:numPr>
        <w:adjustRightInd/>
        <w:contextualSpacing w:val="0"/>
        <w:rPr>
          <w:sz w:val="12"/>
          <w:lang w:val="nl-BE"/>
        </w:rPr>
      </w:pPr>
      <w:r w:rsidRPr="00E36C3A">
        <w:rPr>
          <w:sz w:val="12"/>
          <w:lang w:val="nl-BE"/>
        </w:rPr>
        <w:t xml:space="preserve">een bijkomende netstudie om de impact op het Distributienet te kunnen bepalen, waarbij de DNB de modaliteiten meedeelt voor de uitvoering van de studie, gevolgd door de eventuele modaliteiten voor de uitvoering van wijzigingen aan het Distributienet en/of de Aansluiting indien hij uit de studie kan motiveren dat deze nodig zijn voor de handhaving van de operationele veiligheid; en/of </w:t>
      </w:r>
    </w:p>
    <w:p w14:paraId="6EE577A8" w14:textId="77777777" w:rsidR="008F61D1" w:rsidRPr="00E36C3A" w:rsidRDefault="008F61D1" w:rsidP="008F61D1">
      <w:pPr>
        <w:rPr>
          <w:sz w:val="12"/>
          <w:lang w:val="nl-BE"/>
        </w:rPr>
      </w:pPr>
    </w:p>
    <w:p w14:paraId="742C6A8E" w14:textId="77777777" w:rsidR="008F61D1" w:rsidRPr="00E36C3A" w:rsidRDefault="008F61D1" w:rsidP="008F61D1">
      <w:pPr>
        <w:pStyle w:val="Lijstalinea"/>
        <w:numPr>
          <w:ilvl w:val="0"/>
          <w:numId w:val="6"/>
        </w:numPr>
        <w:adjustRightInd/>
        <w:contextualSpacing w:val="0"/>
        <w:rPr>
          <w:sz w:val="12"/>
          <w:lang w:val="nl-BE"/>
        </w:rPr>
      </w:pPr>
      <w:r w:rsidRPr="00E36C3A">
        <w:rPr>
          <w:sz w:val="12"/>
          <w:lang w:val="nl-BE"/>
        </w:rPr>
        <w:t>het opleggen, conform het TRDG, van een wijziging van het Aansluitingscontract.</w:t>
      </w:r>
    </w:p>
    <w:p w14:paraId="6700B39B" w14:textId="77777777" w:rsidR="008F61D1" w:rsidRPr="00E36C3A" w:rsidRDefault="008F61D1" w:rsidP="008F61D1">
      <w:pPr>
        <w:rPr>
          <w:sz w:val="12"/>
          <w:lang w:val="nl-BE"/>
        </w:rPr>
      </w:pPr>
    </w:p>
    <w:p w14:paraId="20F7426A" w14:textId="77777777" w:rsidR="008F61D1" w:rsidRPr="00E36C3A" w:rsidRDefault="008F61D1" w:rsidP="008F61D1">
      <w:pPr>
        <w:rPr>
          <w:sz w:val="12"/>
          <w:lang w:val="nl-BE"/>
        </w:rPr>
      </w:pPr>
      <w:r w:rsidRPr="00E36C3A">
        <w:rPr>
          <w:sz w:val="12"/>
          <w:lang w:val="nl-BE"/>
        </w:rPr>
        <w:t xml:space="preserve">In elk geval kan de DNG pas overgaan tot de uitvoering van de aangevraagde wijzigingen na toelating van de DNB. </w:t>
      </w:r>
    </w:p>
    <w:p w14:paraId="48BB8EB6" w14:textId="77777777" w:rsidR="008F61D1" w:rsidRPr="00E36C3A" w:rsidRDefault="008F61D1" w:rsidP="008F61D1">
      <w:pPr>
        <w:rPr>
          <w:sz w:val="12"/>
          <w:lang w:val="nl-BE"/>
        </w:rPr>
      </w:pPr>
    </w:p>
    <w:p w14:paraId="5E5EAA6A" w14:textId="77777777" w:rsidR="008F61D1" w:rsidRPr="00E36C3A" w:rsidRDefault="008F61D1" w:rsidP="008F61D1">
      <w:pPr>
        <w:rPr>
          <w:sz w:val="12"/>
          <w:lang w:val="nl-BE"/>
        </w:rPr>
      </w:pPr>
      <w:r w:rsidRPr="00E36C3A">
        <w:rPr>
          <w:sz w:val="12"/>
          <w:lang w:val="nl-BE"/>
        </w:rPr>
        <w:t xml:space="preserve">De DNB kan deze toelating gemotiveerd weigeren: </w:t>
      </w:r>
    </w:p>
    <w:p w14:paraId="70BC9D97" w14:textId="77777777" w:rsidR="008F61D1" w:rsidRPr="00E36C3A" w:rsidRDefault="008F61D1" w:rsidP="008F61D1">
      <w:pPr>
        <w:pStyle w:val="Lijstalinea"/>
        <w:numPr>
          <w:ilvl w:val="0"/>
          <w:numId w:val="6"/>
        </w:numPr>
        <w:adjustRightInd/>
        <w:contextualSpacing w:val="0"/>
        <w:rPr>
          <w:sz w:val="12"/>
          <w:lang w:val="nl-BE"/>
        </w:rPr>
      </w:pPr>
      <w:r w:rsidRPr="00E36C3A">
        <w:rPr>
          <w:sz w:val="12"/>
          <w:lang w:val="nl-BE"/>
        </w:rPr>
        <w:t>indien de aangevraagde wijziging de algemene veiligheid, de operationele veiligheid of het efficiënt gebruik van de beschikbare infrastructuur in het gedrang zou brengen; of</w:t>
      </w:r>
    </w:p>
    <w:p w14:paraId="0EF69814" w14:textId="77777777" w:rsidR="008F61D1" w:rsidRPr="00E36C3A" w:rsidRDefault="008F61D1" w:rsidP="008F61D1">
      <w:pPr>
        <w:rPr>
          <w:sz w:val="12"/>
          <w:lang w:val="nl-BE"/>
        </w:rPr>
      </w:pPr>
    </w:p>
    <w:p w14:paraId="2534F23C" w14:textId="77777777" w:rsidR="008F61D1" w:rsidRPr="00E36C3A" w:rsidRDefault="008F61D1" w:rsidP="008F61D1">
      <w:pPr>
        <w:pStyle w:val="Lijstalinea"/>
        <w:numPr>
          <w:ilvl w:val="0"/>
          <w:numId w:val="6"/>
        </w:numPr>
        <w:adjustRightInd/>
        <w:contextualSpacing w:val="0"/>
        <w:rPr>
          <w:sz w:val="12"/>
          <w:lang w:val="nl-BE"/>
        </w:rPr>
      </w:pPr>
      <w:r w:rsidRPr="00E36C3A">
        <w:rPr>
          <w:sz w:val="12"/>
          <w:lang w:val="nl-BE"/>
        </w:rPr>
        <w:t>indien de DNG in gebreke blijft bij de naleving van de wettelijke, reglementaire of contractuele verplichtingen ten aanzien van de Aansluiting; of</w:t>
      </w:r>
    </w:p>
    <w:p w14:paraId="7B3DBFC2" w14:textId="77777777" w:rsidR="008F61D1" w:rsidRPr="00E36C3A" w:rsidRDefault="008F61D1" w:rsidP="008F61D1">
      <w:pPr>
        <w:rPr>
          <w:sz w:val="12"/>
          <w:lang w:val="nl-BE"/>
        </w:rPr>
      </w:pPr>
    </w:p>
    <w:p w14:paraId="0AF27F20" w14:textId="77777777" w:rsidR="008F61D1" w:rsidRPr="00E36C3A" w:rsidRDefault="008F61D1" w:rsidP="008F61D1">
      <w:pPr>
        <w:pStyle w:val="Lijstalinea"/>
        <w:numPr>
          <w:ilvl w:val="0"/>
          <w:numId w:val="6"/>
        </w:numPr>
        <w:adjustRightInd/>
        <w:contextualSpacing w:val="0"/>
        <w:rPr>
          <w:sz w:val="12"/>
          <w:lang w:val="nl-BE"/>
        </w:rPr>
      </w:pPr>
      <w:r w:rsidRPr="00E36C3A">
        <w:rPr>
          <w:sz w:val="12"/>
          <w:lang w:val="nl-BE"/>
        </w:rPr>
        <w:t>indien de aangevraagde wijziging een uitbouw van het distributienet vereist die technisch - economisch niet verantwoord is.</w:t>
      </w:r>
    </w:p>
    <w:p w14:paraId="140395AA" w14:textId="77777777" w:rsidR="008F61D1" w:rsidRPr="00E36C3A" w:rsidRDefault="008F61D1" w:rsidP="008F61D1">
      <w:pPr>
        <w:rPr>
          <w:sz w:val="12"/>
          <w:lang w:val="nl-BE"/>
        </w:rPr>
      </w:pPr>
    </w:p>
    <w:p w14:paraId="68916695" w14:textId="77777777" w:rsidR="008F61D1" w:rsidRPr="00E36C3A" w:rsidRDefault="008F61D1" w:rsidP="008F61D1">
      <w:pPr>
        <w:rPr>
          <w:sz w:val="12"/>
          <w:lang w:val="nl-BE"/>
        </w:rPr>
      </w:pPr>
      <w:r w:rsidRPr="00E36C3A">
        <w:rPr>
          <w:sz w:val="12"/>
          <w:lang w:val="nl-BE"/>
        </w:rPr>
        <w:t>Indien de aangevraagde wijziging bovendien ook de toelating door derden vereist, staat de DNG zelf in voor het bekomen van de nodige toelatingen, tenzij de DNB en de DNG specifieke andersluidende afspraken hebben gemaakt.</w:t>
      </w:r>
    </w:p>
    <w:p w14:paraId="2D195B70" w14:textId="77777777" w:rsidR="008F61D1" w:rsidRPr="00E36C3A" w:rsidRDefault="008F61D1" w:rsidP="008F61D1">
      <w:pPr>
        <w:rPr>
          <w:sz w:val="12"/>
          <w:lang w:val="nl-BE"/>
        </w:rPr>
      </w:pPr>
    </w:p>
    <w:p w14:paraId="40D5B473" w14:textId="2622156A" w:rsidR="008F61D1" w:rsidRPr="00E36C3A" w:rsidRDefault="008F61D1" w:rsidP="008F61D1">
      <w:pPr>
        <w:rPr>
          <w:sz w:val="12"/>
          <w:lang w:val="nl-BE"/>
        </w:rPr>
      </w:pPr>
      <w:r w:rsidRPr="00E36C3A">
        <w:rPr>
          <w:sz w:val="12"/>
          <w:lang w:val="nl-BE"/>
        </w:rPr>
        <w:t xml:space="preserve">De DNB kan een wijziging van de Aansluiting ook opleggen conform de bepalingen van Artikel </w:t>
      </w:r>
      <w:r w:rsidRPr="00E36C3A">
        <w:rPr>
          <w:sz w:val="12"/>
        </w:rPr>
        <w:fldChar w:fldCharType="begin"/>
      </w:r>
      <w:r w:rsidRPr="00E36C3A">
        <w:rPr>
          <w:sz w:val="12"/>
          <w:lang w:val="nl-BE"/>
        </w:rPr>
        <w:instrText xml:space="preserve"> REF _Ref460234261 \r \h </w:instrText>
      </w:r>
      <w:r w:rsidR="00E36C3A" w:rsidRPr="00E36C3A">
        <w:rPr>
          <w:sz w:val="12"/>
          <w:lang w:val="nl-BE"/>
        </w:rPr>
        <w:instrText xml:space="preserve"> \* MERGEFORMAT </w:instrText>
      </w:r>
      <w:r w:rsidRPr="00E36C3A">
        <w:rPr>
          <w:sz w:val="12"/>
        </w:rPr>
      </w:r>
      <w:r w:rsidRPr="00E36C3A">
        <w:rPr>
          <w:sz w:val="12"/>
        </w:rPr>
        <w:fldChar w:fldCharType="separate"/>
      </w:r>
      <w:r w:rsidRPr="00E36C3A">
        <w:rPr>
          <w:sz w:val="12"/>
          <w:lang w:val="nl-BE"/>
        </w:rPr>
        <w:t>8.3</w:t>
      </w:r>
      <w:r w:rsidRPr="00E36C3A">
        <w:rPr>
          <w:sz w:val="12"/>
        </w:rPr>
        <w:fldChar w:fldCharType="end"/>
      </w:r>
      <w:r w:rsidRPr="00E36C3A">
        <w:rPr>
          <w:sz w:val="12"/>
          <w:lang w:val="nl-BE"/>
        </w:rPr>
        <w:t>.</w:t>
      </w:r>
    </w:p>
    <w:p w14:paraId="617874AB" w14:textId="77777777" w:rsidR="008F61D1" w:rsidRPr="00E36C3A" w:rsidRDefault="008F61D1" w:rsidP="008F61D1">
      <w:pPr>
        <w:rPr>
          <w:sz w:val="12"/>
          <w:lang w:val="nl-BE"/>
        </w:rPr>
      </w:pPr>
    </w:p>
    <w:p w14:paraId="6520BC9B" w14:textId="77777777" w:rsidR="008F61D1" w:rsidRPr="00E36C3A" w:rsidRDefault="008F61D1" w:rsidP="008F61D1">
      <w:pPr>
        <w:pStyle w:val="Kop1"/>
        <w:keepLines/>
        <w:numPr>
          <w:ilvl w:val="0"/>
          <w:numId w:val="7"/>
        </w:numPr>
        <w:shd w:val="clear" w:color="auto" w:fill="D9D9D9" w:themeFill="background1" w:themeFillShade="D9"/>
        <w:autoSpaceDE/>
        <w:autoSpaceDN/>
        <w:adjustRightInd/>
        <w:spacing w:before="480" w:after="240"/>
        <w:ind w:left="1418" w:hanging="1418"/>
        <w:jc w:val="both"/>
        <w:rPr>
          <w:rFonts w:eastAsiaTheme="majorEastAsia" w:cs="Arial"/>
          <w:b/>
          <w:bCs/>
          <w:i w:val="0"/>
          <w:iCs w:val="0"/>
          <w:sz w:val="16"/>
          <w:szCs w:val="24"/>
          <w:lang w:val="nl-BE"/>
        </w:rPr>
      </w:pPr>
      <w:bookmarkStart w:id="63" w:name="_Toc459978367"/>
      <w:bookmarkStart w:id="64" w:name="_Toc459980425"/>
      <w:bookmarkStart w:id="65" w:name="_Toc460238560"/>
      <w:bookmarkStart w:id="66" w:name="_Toc422305031"/>
      <w:bookmarkStart w:id="67" w:name="_Toc422405285"/>
      <w:bookmarkStart w:id="68" w:name="_Ref422408339"/>
      <w:bookmarkStart w:id="69" w:name="_Ref423355643"/>
      <w:bookmarkStart w:id="70" w:name="_Ref423355647"/>
      <w:bookmarkStart w:id="71" w:name="_Ref423356141"/>
      <w:bookmarkStart w:id="72" w:name="_Toc425838676"/>
      <w:bookmarkStart w:id="73" w:name="_Ref460443576"/>
      <w:bookmarkStart w:id="74" w:name="_Ref461096631"/>
      <w:bookmarkStart w:id="75" w:name="_Toc466378824"/>
      <w:bookmarkEnd w:id="63"/>
      <w:bookmarkEnd w:id="64"/>
      <w:bookmarkEnd w:id="65"/>
      <w:r w:rsidRPr="00E36C3A">
        <w:rPr>
          <w:rFonts w:eastAsiaTheme="majorEastAsia" w:cs="Arial"/>
          <w:b/>
          <w:bCs/>
          <w:i w:val="0"/>
          <w:iCs w:val="0"/>
          <w:sz w:val="16"/>
          <w:szCs w:val="24"/>
          <w:lang w:val="nl-BE"/>
        </w:rPr>
        <w:t xml:space="preserve">Bepalingen met betrekking tot de druk en kwaliteit van </w:t>
      </w:r>
      <w:bookmarkEnd w:id="66"/>
      <w:bookmarkEnd w:id="67"/>
      <w:bookmarkEnd w:id="68"/>
      <w:r w:rsidRPr="00E36C3A">
        <w:rPr>
          <w:rFonts w:eastAsiaTheme="majorEastAsia" w:cs="Arial"/>
          <w:b/>
          <w:bCs/>
          <w:i w:val="0"/>
          <w:iCs w:val="0"/>
          <w:sz w:val="16"/>
          <w:szCs w:val="24"/>
          <w:lang w:val="nl-BE"/>
        </w:rPr>
        <w:t>het gas</w:t>
      </w:r>
      <w:bookmarkEnd w:id="69"/>
      <w:bookmarkEnd w:id="70"/>
      <w:bookmarkEnd w:id="71"/>
      <w:bookmarkEnd w:id="72"/>
      <w:r w:rsidRPr="00E36C3A">
        <w:rPr>
          <w:rFonts w:eastAsiaTheme="majorEastAsia" w:cs="Arial"/>
          <w:b/>
          <w:bCs/>
          <w:i w:val="0"/>
          <w:iCs w:val="0"/>
          <w:sz w:val="16"/>
          <w:szCs w:val="24"/>
          <w:lang w:val="nl-BE"/>
        </w:rPr>
        <w:t>, en de Aansluitingscapaciteit</w:t>
      </w:r>
      <w:bookmarkEnd w:id="73"/>
      <w:bookmarkEnd w:id="74"/>
      <w:bookmarkEnd w:id="75"/>
    </w:p>
    <w:p w14:paraId="33F06325" w14:textId="77777777" w:rsidR="008F61D1" w:rsidRPr="00E36C3A" w:rsidRDefault="008F61D1" w:rsidP="008F61D1">
      <w:pPr>
        <w:pStyle w:val="Kop2"/>
        <w:keepNext/>
        <w:keepLines/>
        <w:numPr>
          <w:ilvl w:val="1"/>
          <w:numId w:val="7"/>
        </w:numPr>
        <w:autoSpaceDE/>
        <w:autoSpaceDN/>
        <w:adjustRightInd/>
        <w:spacing w:before="200"/>
        <w:ind w:left="567" w:hanging="567"/>
        <w:jc w:val="both"/>
        <w:rPr>
          <w:rFonts w:eastAsiaTheme="majorEastAsia" w:cs="Arial"/>
          <w:sz w:val="14"/>
          <w:szCs w:val="22"/>
          <w:lang w:val="nl-BE"/>
        </w:rPr>
      </w:pPr>
      <w:bookmarkStart w:id="76" w:name="_Toc422305032"/>
      <w:bookmarkStart w:id="77" w:name="_Toc422305033"/>
      <w:bookmarkStart w:id="78" w:name="_Toc422305034"/>
      <w:bookmarkStart w:id="79" w:name="_Toc422305035"/>
      <w:bookmarkStart w:id="80" w:name="_Toc459978369"/>
      <w:bookmarkStart w:id="81" w:name="_Toc459980427"/>
      <w:bookmarkStart w:id="82" w:name="_Toc460238562"/>
      <w:bookmarkStart w:id="83" w:name="_Toc422305037"/>
      <w:bookmarkStart w:id="84" w:name="_Toc422405287"/>
      <w:bookmarkStart w:id="85" w:name="_Toc425838678"/>
      <w:bookmarkStart w:id="86" w:name="_Toc466378825"/>
      <w:bookmarkEnd w:id="76"/>
      <w:bookmarkEnd w:id="77"/>
      <w:bookmarkEnd w:id="78"/>
      <w:bookmarkEnd w:id="79"/>
      <w:bookmarkEnd w:id="80"/>
      <w:bookmarkEnd w:id="81"/>
      <w:bookmarkEnd w:id="82"/>
      <w:r w:rsidRPr="00E36C3A">
        <w:rPr>
          <w:rFonts w:eastAsiaTheme="majorEastAsia" w:cs="Arial"/>
          <w:sz w:val="14"/>
          <w:szCs w:val="22"/>
          <w:lang w:val="nl-BE"/>
        </w:rPr>
        <w:t>Drukniveau</w:t>
      </w:r>
      <w:bookmarkEnd w:id="83"/>
      <w:bookmarkEnd w:id="84"/>
      <w:bookmarkEnd w:id="85"/>
      <w:bookmarkEnd w:id="86"/>
    </w:p>
    <w:p w14:paraId="28185E4E" w14:textId="77777777" w:rsidR="008F61D1" w:rsidRPr="00E36C3A" w:rsidRDefault="008F61D1" w:rsidP="001C0F03">
      <w:pPr>
        <w:pStyle w:val="Kop3"/>
      </w:pPr>
      <w:bookmarkStart w:id="87" w:name="_Toc466378826"/>
      <w:r w:rsidRPr="00E36C3A">
        <w:t>Variaties op de geleverde gasdruk</w:t>
      </w:r>
      <w:bookmarkEnd w:id="87"/>
    </w:p>
    <w:p w14:paraId="49E6A456" w14:textId="77777777" w:rsidR="008F61D1" w:rsidRPr="00E36C3A" w:rsidRDefault="008F61D1" w:rsidP="008F61D1">
      <w:pPr>
        <w:rPr>
          <w:sz w:val="12"/>
          <w:lang w:val="nl-BE" w:eastAsia="nl-BE"/>
        </w:rPr>
      </w:pPr>
      <w:r w:rsidRPr="00E36C3A">
        <w:rPr>
          <w:sz w:val="12"/>
          <w:lang w:val="nl-BE" w:eastAsia="nl-BE"/>
        </w:rPr>
        <w:t xml:space="preserve">Conform het TRDG verbindt de DNB zich ertoe om alle redelijke middelen die van hem verwacht kunnen worden ter beschikking te stellen opdat de gasdruk op het toegangspunt beantwoordt aan het drukniveau dat vastgesteld is in dit contract. </w:t>
      </w:r>
    </w:p>
    <w:p w14:paraId="303B5474" w14:textId="77777777" w:rsidR="008F61D1" w:rsidRPr="00E36C3A" w:rsidRDefault="008F61D1" w:rsidP="008F61D1">
      <w:pPr>
        <w:rPr>
          <w:sz w:val="12"/>
          <w:lang w:val="nl-BE"/>
        </w:rPr>
      </w:pPr>
    </w:p>
    <w:p w14:paraId="6F23BE7B" w14:textId="77777777" w:rsidR="008F61D1" w:rsidRPr="00E36C3A" w:rsidRDefault="008F61D1" w:rsidP="008F61D1">
      <w:pPr>
        <w:rPr>
          <w:sz w:val="12"/>
          <w:lang w:val="nl-BE" w:eastAsia="nl-BE"/>
        </w:rPr>
      </w:pPr>
      <w:r w:rsidRPr="00E36C3A">
        <w:rPr>
          <w:sz w:val="12"/>
          <w:lang w:val="nl-BE" w:eastAsia="nl-BE"/>
        </w:rPr>
        <w:t xml:space="preserve">De grenswaarden die in dit verband als richtnorm gelden, volgen uit de combinatie van de minimale en maximale werkdrukken van de verbruikstoestellen, zoals vastgelegd in NBN EN437 (bepaling van de proefgassen, de proefdrukken en de toestelcategorieën), enerzijds, en de maximale drukverliezen in de </w:t>
      </w:r>
      <w:proofErr w:type="spellStart"/>
      <w:r w:rsidRPr="00E36C3A">
        <w:rPr>
          <w:sz w:val="12"/>
          <w:lang w:val="nl-BE" w:eastAsia="nl-BE"/>
        </w:rPr>
        <w:t>binneninstallatie</w:t>
      </w:r>
      <w:proofErr w:type="spellEnd"/>
      <w:r w:rsidRPr="00E36C3A">
        <w:rPr>
          <w:sz w:val="12"/>
          <w:lang w:val="nl-BE" w:eastAsia="nl-BE"/>
        </w:rPr>
        <w:t xml:space="preserve"> volgens NBN D51-004 (bepalingen m.b.t. de binnenleidingen voor aardgas en de plaatsing van de verbruikstoestellen) anderzijds.</w:t>
      </w:r>
    </w:p>
    <w:p w14:paraId="494F5471" w14:textId="77777777" w:rsidR="008F61D1" w:rsidRPr="00E36C3A" w:rsidRDefault="008F61D1" w:rsidP="008F61D1">
      <w:pPr>
        <w:rPr>
          <w:sz w:val="12"/>
          <w:lang w:val="nl-BE"/>
        </w:rPr>
      </w:pPr>
    </w:p>
    <w:p w14:paraId="0367524A" w14:textId="77777777" w:rsidR="008F61D1" w:rsidRPr="00E36C3A" w:rsidRDefault="008F61D1" w:rsidP="008F61D1">
      <w:pPr>
        <w:rPr>
          <w:sz w:val="12"/>
          <w:lang w:val="nl-BE"/>
        </w:rPr>
      </w:pPr>
      <w:r w:rsidRPr="00E36C3A">
        <w:rPr>
          <w:sz w:val="12"/>
          <w:lang w:val="nl-BE"/>
        </w:rPr>
        <w:t>De DNG staat er zelf voor in dat het drukverloop op de leidingen tussen het Aansluitingspunt enerzijds en zijn verbruikstoestellen anderzijds binnen de limieten vallen om een voor de DNG aanvaardbare drukkwaliteit ter hoogte van de verbruikstoestellen te handhaven.</w:t>
      </w:r>
    </w:p>
    <w:p w14:paraId="2DCC8F31" w14:textId="77777777" w:rsidR="008F61D1" w:rsidRPr="00E36C3A" w:rsidRDefault="008F61D1" w:rsidP="008F61D1">
      <w:pPr>
        <w:rPr>
          <w:sz w:val="12"/>
          <w:lang w:val="nl-BE"/>
        </w:rPr>
      </w:pPr>
    </w:p>
    <w:p w14:paraId="1B9E0805" w14:textId="77777777" w:rsidR="008F61D1" w:rsidRPr="00E36C3A" w:rsidRDefault="008F61D1" w:rsidP="008F61D1">
      <w:pPr>
        <w:rPr>
          <w:sz w:val="12"/>
          <w:lang w:val="nl-BE" w:eastAsia="nl-BE"/>
        </w:rPr>
      </w:pPr>
      <w:r w:rsidRPr="00E36C3A">
        <w:rPr>
          <w:sz w:val="12"/>
          <w:lang w:val="nl-BE" w:eastAsia="nl-BE"/>
        </w:rPr>
        <w:t>Variaties binnen de toegelaten drukniveaus op (een Toegangspunt van) het Aardgasdistributienet zijn inherent aan een aardgasdistributienet en kunnen derhalve niet worden voorkomen. Het is aan de DNG om in dit verband de nodige voorzorgsmaatregelen te nemen.</w:t>
      </w:r>
    </w:p>
    <w:p w14:paraId="18A66AA8" w14:textId="77777777" w:rsidR="008F61D1" w:rsidRPr="00E36C3A" w:rsidRDefault="008F61D1" w:rsidP="008F61D1">
      <w:pPr>
        <w:rPr>
          <w:sz w:val="12"/>
          <w:lang w:val="nl-BE"/>
        </w:rPr>
      </w:pPr>
    </w:p>
    <w:p w14:paraId="43566368" w14:textId="77777777" w:rsidR="008F61D1" w:rsidRPr="00E36C3A" w:rsidRDefault="008F61D1" w:rsidP="008F61D1">
      <w:pPr>
        <w:rPr>
          <w:sz w:val="12"/>
          <w:lang w:val="nl-BE"/>
        </w:rPr>
      </w:pPr>
      <w:r w:rsidRPr="00E36C3A">
        <w:rPr>
          <w:sz w:val="12"/>
          <w:lang w:val="nl-BE"/>
        </w:rPr>
        <w:t xml:space="preserve">De DNB kan op een door hem gekozen tijdstip en periode een monitoring doen bij de DNG, om de </w:t>
      </w:r>
      <w:proofErr w:type="spellStart"/>
      <w:r w:rsidRPr="00E36C3A">
        <w:rPr>
          <w:sz w:val="12"/>
          <w:lang w:val="nl-BE"/>
        </w:rPr>
        <w:t>netdruk</w:t>
      </w:r>
      <w:proofErr w:type="spellEnd"/>
      <w:r w:rsidRPr="00E36C3A">
        <w:rPr>
          <w:sz w:val="12"/>
          <w:lang w:val="nl-BE"/>
        </w:rPr>
        <w:t xml:space="preserve"> of de leveringsdruk te controleren.</w:t>
      </w:r>
    </w:p>
    <w:p w14:paraId="64306558" w14:textId="77777777" w:rsidR="008F61D1" w:rsidRPr="00E36C3A" w:rsidRDefault="008F61D1" w:rsidP="008F61D1">
      <w:pPr>
        <w:rPr>
          <w:sz w:val="12"/>
          <w:lang w:val="nl-BE"/>
        </w:rPr>
      </w:pPr>
    </w:p>
    <w:p w14:paraId="2FACD5A2" w14:textId="77777777" w:rsidR="008F61D1" w:rsidRPr="00E36C3A" w:rsidRDefault="008F61D1" w:rsidP="008F61D1">
      <w:pPr>
        <w:rPr>
          <w:sz w:val="12"/>
          <w:lang w:val="nl-BE"/>
        </w:rPr>
      </w:pPr>
    </w:p>
    <w:p w14:paraId="148C7A93" w14:textId="77777777" w:rsidR="008F61D1" w:rsidRPr="00E36C3A" w:rsidRDefault="008F61D1" w:rsidP="001C0F03">
      <w:pPr>
        <w:pStyle w:val="Kop3"/>
      </w:pPr>
      <w:bookmarkStart w:id="88" w:name="_Toc466378827"/>
      <w:r w:rsidRPr="00E36C3A">
        <w:t>Meting door de DNB ter controle van de leveringsdruk op vraag van de DNG</w:t>
      </w:r>
      <w:bookmarkEnd w:id="88"/>
    </w:p>
    <w:p w14:paraId="6C472142" w14:textId="77777777" w:rsidR="008F61D1" w:rsidRPr="00E36C3A" w:rsidRDefault="008F61D1" w:rsidP="008F61D1">
      <w:pPr>
        <w:rPr>
          <w:sz w:val="12"/>
          <w:lang w:val="nl-BE"/>
        </w:rPr>
      </w:pPr>
      <w:r w:rsidRPr="00E36C3A">
        <w:rPr>
          <w:sz w:val="12"/>
          <w:lang w:val="nl-BE"/>
        </w:rPr>
        <w:t>Indien de DNG een vermoeden heeft dat de druk ter hoogte van de aansluiting onvoldoende is, kan hij de DNB verzoeken om een drukmeting te doen, conform de bepalingen in het TRDG.</w:t>
      </w:r>
    </w:p>
    <w:p w14:paraId="7FD3C23B" w14:textId="77777777" w:rsidR="008F61D1" w:rsidRPr="00E36C3A" w:rsidRDefault="008F61D1" w:rsidP="008F61D1">
      <w:pPr>
        <w:rPr>
          <w:sz w:val="12"/>
          <w:lang w:val="nl-BE"/>
        </w:rPr>
      </w:pPr>
    </w:p>
    <w:p w14:paraId="79CF48F1" w14:textId="77777777" w:rsidR="008F61D1" w:rsidRPr="00E36C3A" w:rsidRDefault="008F61D1" w:rsidP="008F61D1">
      <w:pPr>
        <w:rPr>
          <w:sz w:val="12"/>
          <w:lang w:val="nl-BE"/>
        </w:rPr>
      </w:pPr>
      <w:r w:rsidRPr="00E36C3A">
        <w:rPr>
          <w:sz w:val="12"/>
          <w:lang w:val="nl-BE"/>
        </w:rPr>
        <w:t xml:space="preserve">De DNB maakt dan een prijsofferte over aan de DNG, voor de uitvoering van de drukregistratie. Conform TRDG is dit bedrag enkel door de DNG verschuldigd indien uit de drukregistratie blijkt dat de geleverde druk afwijkt van de normen of contractuele bepalingen. </w:t>
      </w:r>
    </w:p>
    <w:p w14:paraId="202E3AF7" w14:textId="77777777" w:rsidR="008F61D1" w:rsidRPr="00E36C3A" w:rsidRDefault="008F61D1" w:rsidP="008F61D1">
      <w:pPr>
        <w:rPr>
          <w:sz w:val="12"/>
          <w:lang w:val="nl-BE"/>
        </w:rPr>
      </w:pPr>
    </w:p>
    <w:p w14:paraId="2898E17C" w14:textId="77777777" w:rsidR="008F61D1" w:rsidRPr="00E36C3A" w:rsidRDefault="008F61D1" w:rsidP="008F61D1">
      <w:pPr>
        <w:rPr>
          <w:sz w:val="12"/>
          <w:lang w:val="nl-BE"/>
        </w:rPr>
      </w:pPr>
      <w:r w:rsidRPr="00E36C3A">
        <w:rPr>
          <w:sz w:val="12"/>
          <w:lang w:val="nl-BE"/>
        </w:rPr>
        <w:t>Na akkoord op de offerte plaatst de DNB ter hoogte van de aansluiting van de DNB een drukregistratietoestel met een geschikt drukbereik. De DNG en de DNB maken hiervoor de nodige afspraken met betrekking tot de datum van plaatsing, de duur van de meting en andere praktische modaliteiten.</w:t>
      </w:r>
    </w:p>
    <w:p w14:paraId="0C0F1E07" w14:textId="77777777" w:rsidR="008F61D1" w:rsidRPr="00E36C3A" w:rsidRDefault="008F61D1" w:rsidP="008F61D1">
      <w:pPr>
        <w:rPr>
          <w:sz w:val="12"/>
          <w:lang w:val="nl-BE"/>
        </w:rPr>
      </w:pPr>
    </w:p>
    <w:p w14:paraId="3AFFAD10" w14:textId="77777777" w:rsidR="008F61D1" w:rsidRPr="00E36C3A" w:rsidRDefault="008F61D1" w:rsidP="008F61D1">
      <w:pPr>
        <w:rPr>
          <w:sz w:val="12"/>
          <w:lang w:val="nl-BE"/>
        </w:rPr>
      </w:pPr>
    </w:p>
    <w:p w14:paraId="7D9F1354" w14:textId="77777777" w:rsidR="008F61D1" w:rsidRPr="00E36C3A" w:rsidRDefault="008F61D1" w:rsidP="008F61D1">
      <w:pPr>
        <w:rPr>
          <w:sz w:val="12"/>
          <w:lang w:val="nl-BE"/>
        </w:rPr>
      </w:pPr>
    </w:p>
    <w:p w14:paraId="5AB57985" w14:textId="77777777" w:rsidR="008F61D1" w:rsidRPr="00E36C3A" w:rsidRDefault="008F61D1" w:rsidP="008F61D1">
      <w:pPr>
        <w:pStyle w:val="Kop2"/>
        <w:keepNext/>
        <w:keepLines/>
        <w:numPr>
          <w:ilvl w:val="1"/>
          <w:numId w:val="7"/>
        </w:numPr>
        <w:autoSpaceDE/>
        <w:autoSpaceDN/>
        <w:adjustRightInd/>
        <w:spacing w:before="200"/>
        <w:ind w:left="567" w:hanging="567"/>
        <w:jc w:val="both"/>
        <w:rPr>
          <w:rFonts w:eastAsiaTheme="majorEastAsia" w:cs="Arial"/>
          <w:sz w:val="14"/>
          <w:szCs w:val="22"/>
          <w:lang w:val="nl-BE"/>
        </w:rPr>
      </w:pPr>
      <w:bookmarkStart w:id="89" w:name="_Toc422305038"/>
      <w:bookmarkEnd w:id="89"/>
      <w:r w:rsidRPr="00E36C3A">
        <w:rPr>
          <w:rFonts w:eastAsiaTheme="majorEastAsia" w:cs="Arial"/>
          <w:sz w:val="14"/>
          <w:szCs w:val="22"/>
          <w:lang w:val="nl-BE"/>
        </w:rPr>
        <w:t>Kwaliteit van het gas</w:t>
      </w:r>
    </w:p>
    <w:p w14:paraId="7F03D4D4" w14:textId="77777777" w:rsidR="008F61D1" w:rsidRPr="00E36C3A" w:rsidRDefault="008F61D1" w:rsidP="008F61D1">
      <w:pPr>
        <w:rPr>
          <w:rFonts w:ascii="FDEPLD+Arial" w:hAnsi="FDEPLD+Arial" w:cs="FDEPLD+Arial"/>
          <w:sz w:val="12"/>
          <w:lang w:val="nl-BE" w:eastAsia="nl-BE"/>
        </w:rPr>
      </w:pPr>
      <w:bookmarkStart w:id="90" w:name="_Toc422305041"/>
      <w:bookmarkStart w:id="91" w:name="_Toc422405289"/>
      <w:r w:rsidRPr="00E36C3A">
        <w:rPr>
          <w:sz w:val="12"/>
          <w:lang w:val="nl-BE"/>
        </w:rPr>
        <w:t>Conform de decretale taken van een DNB, en het TRDG, staat de DNB in voor het bewaren van de Kwaliteit van het gas, zoals dit werd aangeleverd vanuit het vervoersnet.</w:t>
      </w:r>
    </w:p>
    <w:p w14:paraId="5108D056" w14:textId="77777777" w:rsidR="008F61D1" w:rsidRPr="00E36C3A" w:rsidRDefault="008F61D1" w:rsidP="008F61D1">
      <w:pPr>
        <w:rPr>
          <w:rFonts w:ascii="FDEPLD+Arial" w:hAnsi="FDEPLD+Arial" w:cs="FDEPLD+Arial"/>
          <w:sz w:val="12"/>
          <w:lang w:val="nl-BE" w:eastAsia="nl-BE"/>
        </w:rPr>
      </w:pPr>
    </w:p>
    <w:p w14:paraId="5A2D4EE1" w14:textId="77777777" w:rsidR="008F61D1" w:rsidRPr="00E36C3A" w:rsidRDefault="008F61D1" w:rsidP="008F61D1">
      <w:pPr>
        <w:rPr>
          <w:rFonts w:ascii="FDEPLD+Arial" w:hAnsi="FDEPLD+Arial" w:cs="FDEPLD+Arial"/>
          <w:sz w:val="12"/>
          <w:lang w:val="nl-BE" w:eastAsia="nl-BE"/>
        </w:rPr>
      </w:pPr>
      <w:r w:rsidRPr="00E36C3A">
        <w:rPr>
          <w:rFonts w:ascii="FDEPLD+Arial" w:hAnsi="FDEPLD+Arial" w:cs="FDEPLD+Arial"/>
          <w:sz w:val="12"/>
          <w:lang w:val="nl-BE" w:eastAsia="nl-BE"/>
        </w:rPr>
        <w:t xml:space="preserve">De DNB zal er met alle redelijke middelen welke technisch en economisch verantwoord zijn voor zorgen dat de kwaliteit en de samenstelling van het gas niet beïnvloed wordt bij de distributie ervan. De DNB doet geen systematische metingen van de samenstelling of calorische waarde, en kan niet aansprakelijk gesteld worden voor schommelingen in deze parameters (waarvan de grenzen door de vervoersnetbeheerder worden vastgelegd). De DNB kan dan ook niet instaan voor schade als gevolg van dergelijke variaties en dit ongeacht de oorzaak ervan. </w:t>
      </w:r>
    </w:p>
    <w:p w14:paraId="1737ED33" w14:textId="77777777" w:rsidR="008F61D1" w:rsidRPr="00E36C3A" w:rsidRDefault="008F61D1" w:rsidP="008F61D1">
      <w:pPr>
        <w:rPr>
          <w:rFonts w:ascii="FDEPLD+Arial" w:hAnsi="FDEPLD+Arial" w:cs="FDEPLD+Arial"/>
          <w:sz w:val="12"/>
          <w:lang w:val="nl-BE" w:eastAsia="nl-BE"/>
        </w:rPr>
      </w:pPr>
    </w:p>
    <w:p w14:paraId="579380BD" w14:textId="77777777" w:rsidR="008F61D1" w:rsidRPr="00E36C3A" w:rsidRDefault="008F61D1" w:rsidP="008F61D1">
      <w:pPr>
        <w:rPr>
          <w:rFonts w:ascii="FDEPLD+Arial" w:hAnsi="FDEPLD+Arial" w:cs="FDEPLD+Arial"/>
          <w:sz w:val="12"/>
          <w:lang w:val="nl-BE" w:eastAsia="nl-BE"/>
        </w:rPr>
      </w:pPr>
      <w:r w:rsidRPr="00E36C3A">
        <w:rPr>
          <w:rFonts w:ascii="FDEPLD+Arial" w:hAnsi="FDEPLD+Arial" w:cs="FDEPLD+Arial"/>
          <w:sz w:val="12"/>
          <w:lang w:val="nl-BE" w:eastAsia="nl-BE"/>
        </w:rPr>
        <w:t>Bijgevolg draagt de DNG de verantwoordelijkheid om zelf te zorgen voor de nodige beveiligingen (zoals het eventueel plaatsen van stoffilters, drooginstallaties) indien hij apparatuur gebruikt die gevoelig is voor variaties in de gaskwaliteit.</w:t>
      </w:r>
    </w:p>
    <w:p w14:paraId="50BEA9E0" w14:textId="77777777" w:rsidR="008F61D1" w:rsidRPr="00E36C3A" w:rsidRDefault="008F61D1" w:rsidP="008F61D1">
      <w:pPr>
        <w:rPr>
          <w:sz w:val="12"/>
          <w:lang w:val="nl-BE"/>
        </w:rPr>
      </w:pPr>
      <w:bookmarkStart w:id="92" w:name="_Toc422305040"/>
      <w:bookmarkStart w:id="93" w:name="_Toc422305045"/>
      <w:bookmarkEnd w:id="90"/>
      <w:bookmarkEnd w:id="91"/>
      <w:bookmarkEnd w:id="92"/>
      <w:bookmarkEnd w:id="93"/>
    </w:p>
    <w:p w14:paraId="3D87E0B3" w14:textId="77777777" w:rsidR="008F61D1" w:rsidRPr="00E36C3A" w:rsidRDefault="008F61D1" w:rsidP="008F61D1">
      <w:pPr>
        <w:pStyle w:val="Kop2"/>
        <w:keepNext/>
        <w:keepLines/>
        <w:numPr>
          <w:ilvl w:val="1"/>
          <w:numId w:val="7"/>
        </w:numPr>
        <w:autoSpaceDE/>
        <w:autoSpaceDN/>
        <w:adjustRightInd/>
        <w:spacing w:before="200"/>
        <w:ind w:left="567" w:hanging="567"/>
        <w:jc w:val="both"/>
        <w:rPr>
          <w:rFonts w:eastAsiaTheme="majorEastAsia" w:cs="Arial"/>
          <w:sz w:val="14"/>
          <w:szCs w:val="22"/>
          <w:lang w:val="nl-BE"/>
        </w:rPr>
      </w:pPr>
      <w:bookmarkStart w:id="94" w:name="_Ref460234261"/>
      <w:bookmarkStart w:id="95" w:name="_Toc466378829"/>
      <w:r w:rsidRPr="00E36C3A">
        <w:rPr>
          <w:rFonts w:eastAsiaTheme="majorEastAsia" w:cs="Arial"/>
          <w:sz w:val="14"/>
          <w:szCs w:val="22"/>
          <w:lang w:val="nl-BE"/>
        </w:rPr>
        <w:t>Minimale, maximale en onderbreekbare Aansluitingscapaciteit</w:t>
      </w:r>
      <w:bookmarkEnd w:id="94"/>
      <w:bookmarkEnd w:id="95"/>
    </w:p>
    <w:p w14:paraId="20C40334" w14:textId="77777777" w:rsidR="008F61D1" w:rsidRPr="00E36C3A" w:rsidRDefault="008F61D1" w:rsidP="001C0F03">
      <w:pPr>
        <w:pStyle w:val="Kop3"/>
      </w:pPr>
      <w:bookmarkStart w:id="96" w:name="_Toc459978376"/>
      <w:bookmarkStart w:id="97" w:name="_Toc459980433"/>
      <w:bookmarkStart w:id="98" w:name="_Toc460238568"/>
      <w:bookmarkStart w:id="99" w:name="_Toc459978377"/>
      <w:bookmarkStart w:id="100" w:name="_Toc459980434"/>
      <w:bookmarkStart w:id="101" w:name="_Toc460238569"/>
      <w:bookmarkStart w:id="102" w:name="_Toc459978378"/>
      <w:bookmarkStart w:id="103" w:name="_Toc459980435"/>
      <w:bookmarkStart w:id="104" w:name="_Toc460238570"/>
      <w:bookmarkStart w:id="105" w:name="_Toc459978379"/>
      <w:bookmarkStart w:id="106" w:name="_Toc459980436"/>
      <w:bookmarkStart w:id="107" w:name="_Toc460238571"/>
      <w:bookmarkStart w:id="108" w:name="_Toc459978380"/>
      <w:bookmarkStart w:id="109" w:name="_Toc459980437"/>
      <w:bookmarkStart w:id="110" w:name="_Toc460238572"/>
      <w:bookmarkStart w:id="111" w:name="_Toc459978381"/>
      <w:bookmarkStart w:id="112" w:name="_Toc459980438"/>
      <w:bookmarkStart w:id="113" w:name="_Toc460238573"/>
      <w:bookmarkStart w:id="114" w:name="_Toc459978382"/>
      <w:bookmarkStart w:id="115" w:name="_Toc459980439"/>
      <w:bookmarkStart w:id="116" w:name="_Toc460238574"/>
      <w:bookmarkStart w:id="117" w:name="_Toc459978383"/>
      <w:bookmarkStart w:id="118" w:name="_Toc459980440"/>
      <w:bookmarkStart w:id="119" w:name="_Toc460238575"/>
      <w:bookmarkStart w:id="120" w:name="_Toc459978384"/>
      <w:bookmarkStart w:id="121" w:name="_Toc459980441"/>
      <w:bookmarkStart w:id="122" w:name="_Toc460238576"/>
      <w:bookmarkStart w:id="123" w:name="_Toc459978385"/>
      <w:bookmarkStart w:id="124" w:name="_Toc459980442"/>
      <w:bookmarkStart w:id="125" w:name="_Toc460238577"/>
      <w:bookmarkStart w:id="126" w:name="_Toc466378830"/>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Pr="00E36C3A">
        <w:t>Minimale en maximale Aansluitingscapaciteit</w:t>
      </w:r>
      <w:bookmarkEnd w:id="126"/>
    </w:p>
    <w:p w14:paraId="1ABBA302" w14:textId="77777777" w:rsidR="008F61D1" w:rsidRPr="00E36C3A" w:rsidRDefault="008F61D1" w:rsidP="008F61D1">
      <w:pPr>
        <w:rPr>
          <w:sz w:val="12"/>
          <w:lang w:val="nl-BE"/>
        </w:rPr>
      </w:pPr>
      <w:r w:rsidRPr="00E36C3A">
        <w:rPr>
          <w:sz w:val="12"/>
          <w:lang w:val="nl-BE"/>
        </w:rPr>
        <w:t>Het Aansluitingscontract vermeldt een minimale en maximale Aansluitingscapaciteit.</w:t>
      </w:r>
    </w:p>
    <w:p w14:paraId="2B693149" w14:textId="77777777" w:rsidR="008F61D1" w:rsidRPr="00E36C3A" w:rsidRDefault="008F61D1" w:rsidP="008F61D1">
      <w:pPr>
        <w:rPr>
          <w:sz w:val="12"/>
          <w:lang w:val="nl-BE"/>
        </w:rPr>
      </w:pPr>
    </w:p>
    <w:p w14:paraId="7D9481C7" w14:textId="77777777" w:rsidR="008F61D1" w:rsidRPr="00E36C3A" w:rsidRDefault="008F61D1" w:rsidP="008F61D1">
      <w:pPr>
        <w:rPr>
          <w:sz w:val="12"/>
          <w:lang w:val="nl-BE"/>
        </w:rPr>
      </w:pPr>
      <w:r w:rsidRPr="00E36C3A">
        <w:rPr>
          <w:sz w:val="12"/>
          <w:lang w:val="nl-BE"/>
        </w:rPr>
        <w:t xml:space="preserve">De maximale Aansluitingscapaciteit is het debiet waarover de DNG maximaal kan beschikken. Een overschrijding van dit debiet kan schade veroorzaken </w:t>
      </w:r>
      <w:r w:rsidRPr="00E36C3A">
        <w:rPr>
          <w:sz w:val="12"/>
          <w:lang w:val="nl-BE"/>
        </w:rPr>
        <w:lastRenderedPageBreak/>
        <w:t xml:space="preserve">aan de het Distributienet of Aansluiting, of kan aanleiding geven tot een onnauwkeurige werking van de meetinrichting. </w:t>
      </w:r>
    </w:p>
    <w:p w14:paraId="45439B57" w14:textId="049C569B" w:rsidR="008F61D1" w:rsidRPr="00E36C3A" w:rsidRDefault="008F61D1" w:rsidP="008F61D1">
      <w:pPr>
        <w:rPr>
          <w:sz w:val="12"/>
          <w:lang w:val="nl-BE"/>
        </w:rPr>
      </w:pPr>
      <w:r w:rsidRPr="00E36C3A">
        <w:rPr>
          <w:sz w:val="12"/>
          <w:lang w:val="nl-BE"/>
        </w:rPr>
        <w:t xml:space="preserve">Indien de DNB vaststelt dat de DNG hogere afnamepieken heeft dan de maximale Aansluitingscapaciteit kan hij een aanpassing van de Aansluiting en/of Aansluitingscontract opleggen, ten laste van de DNG, en waarbij de procedure voor wijziging van Aansluiting van toepassing is conform het TRDG en </w:t>
      </w:r>
      <w:r w:rsidRPr="00E36C3A">
        <w:rPr>
          <w:sz w:val="12"/>
        </w:rPr>
        <w:fldChar w:fldCharType="begin"/>
      </w:r>
      <w:r w:rsidRPr="00E36C3A">
        <w:rPr>
          <w:sz w:val="12"/>
          <w:lang w:val="nl-BE"/>
        </w:rPr>
        <w:instrText xml:space="preserve"> REF _Ref460226550 \r \h </w:instrText>
      </w:r>
      <w:r w:rsidR="00E36C3A" w:rsidRPr="00E36C3A">
        <w:rPr>
          <w:sz w:val="12"/>
          <w:lang w:val="nl-BE"/>
        </w:rPr>
        <w:instrText xml:space="preserve"> \* MERGEFORMAT </w:instrText>
      </w:r>
      <w:r w:rsidRPr="00E36C3A">
        <w:rPr>
          <w:sz w:val="12"/>
        </w:rPr>
      </w:r>
      <w:r w:rsidRPr="00E36C3A">
        <w:rPr>
          <w:sz w:val="12"/>
        </w:rPr>
        <w:fldChar w:fldCharType="separate"/>
      </w:r>
      <w:r w:rsidRPr="00E36C3A">
        <w:rPr>
          <w:sz w:val="12"/>
          <w:lang w:val="nl-BE"/>
        </w:rPr>
        <w:t>Artikel 7</w:t>
      </w:r>
      <w:r w:rsidRPr="00E36C3A">
        <w:rPr>
          <w:sz w:val="12"/>
        </w:rPr>
        <w:fldChar w:fldCharType="end"/>
      </w:r>
      <w:r w:rsidRPr="00E36C3A">
        <w:rPr>
          <w:sz w:val="12"/>
          <w:lang w:val="nl-BE"/>
        </w:rPr>
        <w:t xml:space="preserve"> van deze algemene voorwaarden.</w:t>
      </w:r>
    </w:p>
    <w:p w14:paraId="4DAB2FBF" w14:textId="77777777" w:rsidR="008F61D1" w:rsidRPr="00E36C3A" w:rsidRDefault="008F61D1" w:rsidP="008F61D1">
      <w:pPr>
        <w:rPr>
          <w:sz w:val="12"/>
          <w:lang w:val="nl-BE"/>
        </w:rPr>
      </w:pPr>
    </w:p>
    <w:p w14:paraId="3B5395BE" w14:textId="77777777" w:rsidR="008F61D1" w:rsidRPr="00E36C3A" w:rsidRDefault="008F61D1" w:rsidP="008F61D1">
      <w:pPr>
        <w:rPr>
          <w:sz w:val="12"/>
          <w:lang w:val="nl-BE"/>
        </w:rPr>
      </w:pPr>
      <w:r w:rsidRPr="00E36C3A">
        <w:rPr>
          <w:sz w:val="12"/>
          <w:lang w:val="nl-BE"/>
        </w:rPr>
        <w:t xml:space="preserve">De minimale Aansluitingscapaciteit wordt bepaald door het nauwkeurigheidsbereik van de meetinrichting, waarvoor een waarde </w:t>
      </w:r>
      <w:proofErr w:type="spellStart"/>
      <w:r w:rsidRPr="00E36C3A">
        <w:rPr>
          <w:sz w:val="12"/>
          <w:lang w:val="nl-BE"/>
        </w:rPr>
        <w:t>Q</w:t>
      </w:r>
      <w:r w:rsidRPr="00E36C3A">
        <w:rPr>
          <w:sz w:val="12"/>
          <w:vertAlign w:val="subscript"/>
          <w:lang w:val="nl-BE"/>
        </w:rPr>
        <w:t>min</w:t>
      </w:r>
      <w:proofErr w:type="spellEnd"/>
      <w:r w:rsidRPr="00E36C3A">
        <w:rPr>
          <w:sz w:val="12"/>
          <w:lang w:val="nl-BE"/>
        </w:rPr>
        <w:t xml:space="preserve"> wordt opgegeven conform de toepasselijke wettelijke bepalingen betreffende meetinstrumenten. Bij een lagere afname dan </w:t>
      </w:r>
      <w:proofErr w:type="spellStart"/>
      <w:r w:rsidRPr="00E36C3A">
        <w:rPr>
          <w:sz w:val="12"/>
          <w:lang w:val="nl-BE"/>
        </w:rPr>
        <w:t>Q</w:t>
      </w:r>
      <w:r w:rsidRPr="00E36C3A">
        <w:rPr>
          <w:sz w:val="12"/>
          <w:vertAlign w:val="subscript"/>
          <w:lang w:val="nl-BE"/>
        </w:rPr>
        <w:t>min</w:t>
      </w:r>
      <w:proofErr w:type="spellEnd"/>
      <w:r w:rsidRPr="00E36C3A">
        <w:rPr>
          <w:sz w:val="12"/>
          <w:lang w:val="nl-BE"/>
        </w:rPr>
        <w:t xml:space="preserve"> is de nauwkeurigheid van de meting niet gegarandeerd. </w:t>
      </w:r>
    </w:p>
    <w:p w14:paraId="10A46E52" w14:textId="7CB33CA4" w:rsidR="008F61D1" w:rsidRPr="00E36C3A" w:rsidRDefault="008F61D1" w:rsidP="008F61D1">
      <w:pPr>
        <w:rPr>
          <w:sz w:val="12"/>
          <w:lang w:val="nl-BE"/>
        </w:rPr>
      </w:pPr>
      <w:r w:rsidRPr="00E36C3A">
        <w:rPr>
          <w:sz w:val="12"/>
          <w:lang w:val="nl-BE"/>
        </w:rPr>
        <w:t xml:space="preserve">Indien de DNB vaststelt dat de DNG systematisch een lagere afname heeft dan de minimale Aansluitingscapaciteit (met uitzondering van de momenten dat er helemaal geen afname is door de DNG), en na overleg tussen DNB en DNG waarin </w:t>
      </w:r>
      <w:proofErr w:type="spellStart"/>
      <w:r w:rsidRPr="00E36C3A">
        <w:rPr>
          <w:sz w:val="12"/>
          <w:lang w:val="nl-BE"/>
        </w:rPr>
        <w:t>ondermeer</w:t>
      </w:r>
      <w:proofErr w:type="spellEnd"/>
      <w:r w:rsidRPr="00E36C3A">
        <w:rPr>
          <w:sz w:val="12"/>
          <w:lang w:val="nl-BE"/>
        </w:rPr>
        <w:t xml:space="preserve"> de afnamevooruitzichten van de DNG geanalyseerd worden, kan de DNB een aanpassing van de Aansluiting en/of Aansluitingscontract opleggen, ten laste van de DNG, en waarbij de procedure voor wijziging van Aansluiting van toepassing is conform het TRDG en </w:t>
      </w:r>
      <w:r w:rsidRPr="00E36C3A">
        <w:rPr>
          <w:sz w:val="12"/>
        </w:rPr>
        <w:fldChar w:fldCharType="begin"/>
      </w:r>
      <w:r w:rsidRPr="00E36C3A">
        <w:rPr>
          <w:sz w:val="12"/>
          <w:lang w:val="nl-BE"/>
        </w:rPr>
        <w:instrText xml:space="preserve"> REF _Ref460226550 \r \h </w:instrText>
      </w:r>
      <w:r w:rsidR="00E36C3A" w:rsidRPr="00E36C3A">
        <w:rPr>
          <w:sz w:val="12"/>
          <w:lang w:val="nl-BE"/>
        </w:rPr>
        <w:instrText xml:space="preserve"> \* MERGEFORMAT </w:instrText>
      </w:r>
      <w:r w:rsidRPr="00E36C3A">
        <w:rPr>
          <w:sz w:val="12"/>
        </w:rPr>
      </w:r>
      <w:r w:rsidRPr="00E36C3A">
        <w:rPr>
          <w:sz w:val="12"/>
        </w:rPr>
        <w:fldChar w:fldCharType="separate"/>
      </w:r>
      <w:r w:rsidRPr="00E36C3A">
        <w:rPr>
          <w:sz w:val="12"/>
          <w:lang w:val="nl-BE"/>
        </w:rPr>
        <w:t>Artikel 7</w:t>
      </w:r>
      <w:r w:rsidRPr="00E36C3A">
        <w:rPr>
          <w:sz w:val="12"/>
        </w:rPr>
        <w:fldChar w:fldCharType="end"/>
      </w:r>
      <w:r w:rsidRPr="00E36C3A">
        <w:rPr>
          <w:sz w:val="12"/>
          <w:lang w:val="nl-BE"/>
        </w:rPr>
        <w:t xml:space="preserve"> van deze algemene voorwaarden.</w:t>
      </w:r>
    </w:p>
    <w:p w14:paraId="0F290088" w14:textId="77777777" w:rsidR="008F61D1" w:rsidRPr="00E36C3A" w:rsidRDefault="008F61D1" w:rsidP="008F61D1">
      <w:pPr>
        <w:rPr>
          <w:sz w:val="12"/>
          <w:lang w:val="nl-BE"/>
        </w:rPr>
      </w:pPr>
    </w:p>
    <w:p w14:paraId="3306127C" w14:textId="77777777" w:rsidR="008F61D1" w:rsidRPr="00E36C3A" w:rsidRDefault="008F61D1" w:rsidP="001C0F03">
      <w:pPr>
        <w:pStyle w:val="Kop3"/>
      </w:pPr>
      <w:bookmarkStart w:id="127" w:name="_Toc466378831"/>
      <w:r w:rsidRPr="00E36C3A">
        <w:t>Onderbreekbaarheid van de gaslevering</w:t>
      </w:r>
      <w:bookmarkEnd w:id="127"/>
    </w:p>
    <w:p w14:paraId="0AFFF7EA" w14:textId="77777777" w:rsidR="008F61D1" w:rsidRPr="00E36C3A" w:rsidRDefault="008F61D1" w:rsidP="008F61D1">
      <w:pPr>
        <w:rPr>
          <w:sz w:val="12"/>
          <w:lang w:val="nl-BE"/>
        </w:rPr>
      </w:pPr>
      <w:r w:rsidRPr="00E36C3A">
        <w:rPr>
          <w:sz w:val="12"/>
          <w:lang w:val="nl-BE"/>
        </w:rPr>
        <w:t>De DNB kan aan aansluitingsaanvraag weigeren indien het betrokken net over onvoldoende capaciteit beschikt om de gevraagde maximale Aansluitingscapaciteit bij volledige belasting van het net te leveren. Om toch zoveel mogelijk aan de behoeften van de DNG tegemoet te komen kan de DNB de totale Aansluitingscapaciteit opsplitsen in een vaste Aansluitingscapaciteit en een onderbreekbare capaciteit. Het aansluitingscontract vermeldt in dat geval aparte waarden voor de totale (ACT), vaste (ACV) en onderbreekbare (ACO) Aansluitingscapaciteit.</w:t>
      </w:r>
    </w:p>
    <w:p w14:paraId="18D68FD2" w14:textId="77777777" w:rsidR="008F61D1" w:rsidRPr="00E36C3A" w:rsidRDefault="008F61D1" w:rsidP="008F61D1">
      <w:pPr>
        <w:rPr>
          <w:sz w:val="12"/>
          <w:lang w:val="nl-BE"/>
        </w:rPr>
      </w:pPr>
    </w:p>
    <w:p w14:paraId="7A582D86" w14:textId="77777777" w:rsidR="008F61D1" w:rsidRPr="00E36C3A" w:rsidRDefault="008F61D1" w:rsidP="008F61D1">
      <w:pPr>
        <w:rPr>
          <w:sz w:val="12"/>
          <w:lang w:val="nl-BE"/>
        </w:rPr>
      </w:pPr>
      <w:r w:rsidRPr="00E36C3A">
        <w:rPr>
          <w:sz w:val="12"/>
          <w:lang w:val="nl-BE"/>
        </w:rPr>
        <w:t>De DNB kan de effectieve onderbreking van de onderbreekbare Aansluitingscapaciteit bevelen bij de DNG, en dit tussen 15 november en 15 maart van elke winterperiode. De DNB maakt dit bevel aan de DNG schriftelijk (bijvoorbeeld per email) over, telkens minstens 24 uur voorafgaand aan de onderbreking, , aan de contactpersoon die de DNG heeft aangeduid, met eventuele bijkomende kennisgeving per telefoon.</w:t>
      </w:r>
    </w:p>
    <w:p w14:paraId="23D75D66" w14:textId="77777777" w:rsidR="008F61D1" w:rsidRPr="00E36C3A" w:rsidRDefault="008F61D1" w:rsidP="008F61D1">
      <w:pPr>
        <w:rPr>
          <w:sz w:val="12"/>
          <w:lang w:val="nl-BE"/>
        </w:rPr>
      </w:pPr>
    </w:p>
    <w:p w14:paraId="1826E54E" w14:textId="77777777" w:rsidR="008F61D1" w:rsidRPr="00E36C3A" w:rsidRDefault="008F61D1" w:rsidP="008F61D1">
      <w:pPr>
        <w:rPr>
          <w:sz w:val="12"/>
          <w:lang w:val="nl-BE"/>
        </w:rPr>
      </w:pPr>
      <w:r w:rsidRPr="00E36C3A">
        <w:rPr>
          <w:sz w:val="12"/>
          <w:lang w:val="nl-BE"/>
        </w:rPr>
        <w:t xml:space="preserve">Gedurende elke winterperiode mag de totale duur van de onderbrekingen niet meer dan 35 dagen bedragen, en elke onderbreking mag niet meer dan 15 dagen duren. </w:t>
      </w:r>
    </w:p>
    <w:p w14:paraId="27378D3F" w14:textId="77777777" w:rsidR="008F61D1" w:rsidRPr="00E36C3A" w:rsidRDefault="008F61D1" w:rsidP="008F61D1">
      <w:pPr>
        <w:rPr>
          <w:sz w:val="12"/>
          <w:lang w:val="nl-BE"/>
        </w:rPr>
      </w:pPr>
    </w:p>
    <w:p w14:paraId="19326E4D" w14:textId="77777777" w:rsidR="008F61D1" w:rsidRPr="00E36C3A" w:rsidRDefault="008F61D1" w:rsidP="008F61D1">
      <w:pPr>
        <w:rPr>
          <w:sz w:val="12"/>
          <w:lang w:val="nl-BE"/>
        </w:rPr>
      </w:pPr>
      <w:r w:rsidRPr="00E36C3A">
        <w:rPr>
          <w:sz w:val="12"/>
          <w:lang w:val="nl-BE"/>
        </w:rPr>
        <w:t>De DNG verbindt er zich toe steeds voor minimum twintig dagen over reservebrandstof te beschikken.</w:t>
      </w:r>
    </w:p>
    <w:p w14:paraId="3EBE2D3B" w14:textId="77777777" w:rsidR="008F61D1" w:rsidRPr="00E36C3A" w:rsidRDefault="008F61D1" w:rsidP="008F61D1">
      <w:pPr>
        <w:rPr>
          <w:sz w:val="12"/>
          <w:lang w:val="nl-BE"/>
        </w:rPr>
      </w:pPr>
    </w:p>
    <w:p w14:paraId="20D9FF2F" w14:textId="77777777" w:rsidR="008F61D1" w:rsidRPr="00E36C3A" w:rsidRDefault="008F61D1" w:rsidP="008F61D1">
      <w:pPr>
        <w:pStyle w:val="Kop1"/>
        <w:keepLines/>
        <w:numPr>
          <w:ilvl w:val="0"/>
          <w:numId w:val="7"/>
        </w:numPr>
        <w:shd w:val="clear" w:color="auto" w:fill="D9D9D9" w:themeFill="background1" w:themeFillShade="D9"/>
        <w:autoSpaceDE/>
        <w:autoSpaceDN/>
        <w:adjustRightInd/>
        <w:spacing w:before="480" w:after="240"/>
        <w:ind w:left="1418" w:hanging="1418"/>
        <w:jc w:val="both"/>
        <w:rPr>
          <w:rFonts w:eastAsiaTheme="majorEastAsia" w:cs="Arial"/>
          <w:b/>
          <w:bCs/>
          <w:i w:val="0"/>
          <w:iCs w:val="0"/>
          <w:sz w:val="16"/>
          <w:szCs w:val="24"/>
          <w:lang w:val="nl-BE"/>
        </w:rPr>
      </w:pPr>
      <w:bookmarkStart w:id="128" w:name="_Toc422305047"/>
      <w:bookmarkStart w:id="129" w:name="_Toc422405294"/>
      <w:bookmarkStart w:id="130" w:name="_Ref422405529"/>
      <w:bookmarkStart w:id="131" w:name="_Toc425838683"/>
      <w:bookmarkStart w:id="132" w:name="_Toc466378832"/>
      <w:r w:rsidRPr="00E36C3A">
        <w:rPr>
          <w:rFonts w:eastAsiaTheme="majorEastAsia" w:cs="Arial"/>
          <w:b/>
          <w:bCs/>
          <w:i w:val="0"/>
          <w:iCs w:val="0"/>
          <w:sz w:val="16"/>
          <w:szCs w:val="24"/>
          <w:lang w:val="nl-BE"/>
        </w:rPr>
        <w:t>Onvoorziene omstandigheden</w:t>
      </w:r>
      <w:bookmarkEnd w:id="128"/>
      <w:bookmarkEnd w:id="129"/>
      <w:bookmarkEnd w:id="130"/>
      <w:bookmarkEnd w:id="131"/>
      <w:bookmarkEnd w:id="132"/>
    </w:p>
    <w:p w14:paraId="661F843D" w14:textId="77777777" w:rsidR="008F61D1" w:rsidRPr="00E36C3A" w:rsidRDefault="008F61D1" w:rsidP="008F61D1">
      <w:pPr>
        <w:rPr>
          <w:sz w:val="12"/>
        </w:rPr>
      </w:pPr>
      <w:r w:rsidRPr="00E36C3A">
        <w:rPr>
          <w:sz w:val="12"/>
          <w:lang w:val="nl-BE"/>
        </w:rPr>
        <w:t xml:space="preserve">In omstandigheden die niet door dit contract voorzien zijn of in situaties van hoogdringendheid (dringende exploitatieverrichtingen of andere aansturingen ten gevolge van onvoorziene uitzonderlijke </w:t>
      </w:r>
      <w:proofErr w:type="spellStart"/>
      <w:r w:rsidRPr="00E36C3A">
        <w:rPr>
          <w:sz w:val="12"/>
          <w:lang w:val="nl-BE"/>
        </w:rPr>
        <w:t>netuitbatingsomstandigheden</w:t>
      </w:r>
      <w:proofErr w:type="spellEnd"/>
      <w:r w:rsidRPr="00E36C3A">
        <w:rPr>
          <w:sz w:val="12"/>
          <w:lang w:val="nl-BE"/>
        </w:rPr>
        <w:t xml:space="preserve"> nodig voor de handhaving van de operationele veiligheid van het net), beslist de DNB over de te volgen gedragslijn en onderneemt hij desnoods de nodige stappen om deze omstandigheden en situaties te verhelpen. </w:t>
      </w:r>
      <w:proofErr w:type="spellStart"/>
      <w:r w:rsidRPr="00E36C3A">
        <w:rPr>
          <w:sz w:val="12"/>
        </w:rPr>
        <w:t>Deze</w:t>
      </w:r>
      <w:proofErr w:type="spellEnd"/>
      <w:r w:rsidRPr="00E36C3A">
        <w:rPr>
          <w:sz w:val="12"/>
        </w:rPr>
        <w:t xml:space="preserve"> </w:t>
      </w:r>
      <w:proofErr w:type="spellStart"/>
      <w:r w:rsidRPr="00E36C3A">
        <w:rPr>
          <w:sz w:val="12"/>
        </w:rPr>
        <w:t>beslissingen</w:t>
      </w:r>
      <w:proofErr w:type="spellEnd"/>
      <w:r w:rsidRPr="00E36C3A">
        <w:rPr>
          <w:sz w:val="12"/>
        </w:rPr>
        <w:t xml:space="preserve"> </w:t>
      </w:r>
      <w:proofErr w:type="spellStart"/>
      <w:r w:rsidRPr="00E36C3A">
        <w:rPr>
          <w:sz w:val="12"/>
        </w:rPr>
        <w:t>verbinden</w:t>
      </w:r>
      <w:proofErr w:type="spellEnd"/>
      <w:r w:rsidRPr="00E36C3A">
        <w:rPr>
          <w:sz w:val="12"/>
        </w:rPr>
        <w:t xml:space="preserve"> de DNG.</w:t>
      </w:r>
    </w:p>
    <w:p w14:paraId="62211404" w14:textId="77777777" w:rsidR="008F61D1" w:rsidRPr="00E36C3A" w:rsidRDefault="008F61D1" w:rsidP="008F61D1">
      <w:pPr>
        <w:rPr>
          <w:sz w:val="12"/>
        </w:rPr>
      </w:pPr>
    </w:p>
    <w:p w14:paraId="2A09C0F6" w14:textId="77777777" w:rsidR="008F61D1" w:rsidRPr="00E36C3A" w:rsidRDefault="008F61D1" w:rsidP="008F61D1">
      <w:pPr>
        <w:pStyle w:val="Kop1"/>
        <w:keepLines/>
        <w:numPr>
          <w:ilvl w:val="0"/>
          <w:numId w:val="7"/>
        </w:numPr>
        <w:shd w:val="clear" w:color="auto" w:fill="D9D9D9" w:themeFill="background1" w:themeFillShade="D9"/>
        <w:autoSpaceDE/>
        <w:autoSpaceDN/>
        <w:adjustRightInd/>
        <w:spacing w:before="480" w:after="240"/>
        <w:ind w:left="1418" w:hanging="1418"/>
        <w:jc w:val="both"/>
        <w:rPr>
          <w:rFonts w:eastAsiaTheme="majorEastAsia" w:cs="Arial"/>
          <w:b/>
          <w:bCs/>
          <w:i w:val="0"/>
          <w:iCs w:val="0"/>
          <w:sz w:val="16"/>
          <w:szCs w:val="24"/>
          <w:lang w:val="nl-BE"/>
        </w:rPr>
      </w:pPr>
      <w:bookmarkStart w:id="133" w:name="_Toc422305048"/>
      <w:bookmarkStart w:id="134" w:name="_Toc422405295"/>
      <w:bookmarkStart w:id="135" w:name="_Ref422405915"/>
      <w:bookmarkStart w:id="136" w:name="_Ref422409026"/>
      <w:bookmarkStart w:id="137" w:name="_Toc425838684"/>
      <w:bookmarkStart w:id="138" w:name="_Toc466378833"/>
      <w:r w:rsidRPr="00E36C3A">
        <w:rPr>
          <w:rFonts w:eastAsiaTheme="majorEastAsia" w:cs="Arial"/>
          <w:b/>
          <w:bCs/>
          <w:i w:val="0"/>
          <w:iCs w:val="0"/>
          <w:sz w:val="16"/>
          <w:szCs w:val="24"/>
          <w:lang w:val="nl-BE"/>
        </w:rPr>
        <w:t>Algemene regeling inzake aansprakelijkheid van de DNB</w:t>
      </w:r>
      <w:bookmarkEnd w:id="133"/>
      <w:bookmarkEnd w:id="134"/>
      <w:bookmarkEnd w:id="135"/>
      <w:bookmarkEnd w:id="136"/>
      <w:bookmarkEnd w:id="137"/>
      <w:bookmarkEnd w:id="138"/>
    </w:p>
    <w:p w14:paraId="533C593C" w14:textId="77777777" w:rsidR="008F61D1" w:rsidRPr="00E36C3A" w:rsidRDefault="008F61D1" w:rsidP="008F61D1">
      <w:pPr>
        <w:pStyle w:val="Kop2"/>
        <w:keepNext/>
        <w:keepLines/>
        <w:numPr>
          <w:ilvl w:val="1"/>
          <w:numId w:val="7"/>
        </w:numPr>
        <w:autoSpaceDE/>
        <w:autoSpaceDN/>
        <w:adjustRightInd/>
        <w:spacing w:before="200"/>
        <w:ind w:left="567" w:hanging="567"/>
        <w:jc w:val="both"/>
        <w:rPr>
          <w:rFonts w:eastAsiaTheme="majorEastAsia" w:cs="Arial"/>
          <w:sz w:val="14"/>
          <w:szCs w:val="22"/>
          <w:lang w:val="nl-BE"/>
        </w:rPr>
      </w:pPr>
      <w:bookmarkStart w:id="139" w:name="_Toc466378834"/>
      <w:r w:rsidRPr="00E36C3A">
        <w:rPr>
          <w:rFonts w:eastAsiaTheme="majorEastAsia" w:cs="Arial"/>
          <w:sz w:val="14"/>
          <w:szCs w:val="22"/>
          <w:lang w:val="nl-BE"/>
        </w:rPr>
        <w:t>Algemeen</w:t>
      </w:r>
      <w:bookmarkEnd w:id="139"/>
    </w:p>
    <w:p w14:paraId="4D3831A8" w14:textId="77777777" w:rsidR="008F61D1" w:rsidRPr="00E36C3A" w:rsidRDefault="008F61D1" w:rsidP="008F61D1">
      <w:pPr>
        <w:rPr>
          <w:sz w:val="12"/>
          <w:lang w:val="nl-BE"/>
        </w:rPr>
      </w:pPr>
      <w:r w:rsidRPr="00E36C3A">
        <w:rPr>
          <w:sz w:val="12"/>
          <w:lang w:val="nl-BE"/>
        </w:rPr>
        <w:t>Onverminderd de andere bepalingen inzake aansprakelijkheid die elders in deze algemene voorwaarden en het Aansluitingscontract in zijn geheel zijn opgenomen, worden onder dit artikel de aansprakelijkheidsregels met betrekking tot variaties in gasdruk en -kwaliteit, onderbrekingen, werkzaamheden aan de Aansluiting en laattijdige aansluiting en heraansluiting bepaald, alsook de procedure met betrekking tot het indienen van een aanvraag tot vergoeding, en de bepalingen inzake verzekeringen, noodsituaties en overmacht.</w:t>
      </w:r>
    </w:p>
    <w:p w14:paraId="7FD5D238" w14:textId="77777777" w:rsidR="008F61D1" w:rsidRPr="00E36C3A" w:rsidRDefault="008F61D1" w:rsidP="008F61D1">
      <w:pPr>
        <w:rPr>
          <w:sz w:val="12"/>
          <w:lang w:val="nl-BE"/>
        </w:rPr>
      </w:pPr>
    </w:p>
    <w:p w14:paraId="48EEA687" w14:textId="77777777" w:rsidR="008F61D1" w:rsidRPr="00E36C3A" w:rsidRDefault="008F61D1" w:rsidP="008F61D1">
      <w:pPr>
        <w:pStyle w:val="Kop2"/>
        <w:keepNext/>
        <w:keepLines/>
        <w:numPr>
          <w:ilvl w:val="1"/>
          <w:numId w:val="7"/>
        </w:numPr>
        <w:autoSpaceDE/>
        <w:autoSpaceDN/>
        <w:adjustRightInd/>
        <w:spacing w:before="200"/>
        <w:ind w:left="567" w:hanging="567"/>
        <w:jc w:val="both"/>
        <w:rPr>
          <w:rFonts w:eastAsiaTheme="majorEastAsia" w:cs="Arial"/>
          <w:sz w:val="14"/>
          <w:szCs w:val="22"/>
          <w:lang w:val="nl-BE"/>
        </w:rPr>
      </w:pPr>
      <w:bookmarkStart w:id="140" w:name="_Ref460443916"/>
      <w:bookmarkStart w:id="141" w:name="_Toc466378835"/>
      <w:r w:rsidRPr="00E36C3A">
        <w:rPr>
          <w:rFonts w:eastAsiaTheme="majorEastAsia" w:cs="Arial"/>
          <w:sz w:val="14"/>
          <w:szCs w:val="22"/>
          <w:lang w:val="nl-BE"/>
        </w:rPr>
        <w:t>Onderbrekingen van de gastoevoer en variaties van de druk: foutaansprakelijkheid:</w:t>
      </w:r>
      <w:bookmarkEnd w:id="140"/>
      <w:bookmarkEnd w:id="141"/>
      <w:r w:rsidRPr="00E36C3A">
        <w:rPr>
          <w:rFonts w:eastAsiaTheme="majorEastAsia" w:cs="Arial"/>
          <w:sz w:val="14"/>
          <w:szCs w:val="22"/>
          <w:lang w:val="nl-BE"/>
        </w:rPr>
        <w:t xml:space="preserve"> </w:t>
      </w:r>
    </w:p>
    <w:p w14:paraId="0677705F" w14:textId="77777777" w:rsidR="008F61D1" w:rsidRPr="00E36C3A" w:rsidRDefault="008F61D1" w:rsidP="008F61D1">
      <w:pPr>
        <w:rPr>
          <w:sz w:val="12"/>
          <w:lang w:val="nl-BE"/>
        </w:rPr>
      </w:pPr>
      <w:r w:rsidRPr="00E36C3A">
        <w:rPr>
          <w:sz w:val="12"/>
          <w:lang w:val="nl-BE"/>
        </w:rPr>
        <w:t xml:space="preserve">Met inachtneming van de hierna genoemde regels en onverminderd de bepalingen van Artikel 8, is de DNB uitsluitend aansprakelijk voor de hierna vermelde gevallen van schade van de DNG die het gevolg is van onderbrekingen of variaties in gasdruk en -kwaliteit, wanneer is aangetoond dat deze schade het rechtstreekse gevolg is van een aan de DNB toerekenbare fout. </w:t>
      </w:r>
    </w:p>
    <w:p w14:paraId="2F1EB27F" w14:textId="77777777" w:rsidR="008F61D1" w:rsidRPr="00E36C3A" w:rsidRDefault="008F61D1" w:rsidP="008F61D1">
      <w:pPr>
        <w:rPr>
          <w:sz w:val="12"/>
          <w:lang w:val="nl-BE"/>
        </w:rPr>
      </w:pPr>
    </w:p>
    <w:p w14:paraId="47B27EA3" w14:textId="77777777" w:rsidR="008F61D1" w:rsidRPr="00E36C3A" w:rsidRDefault="008F61D1" w:rsidP="008F61D1">
      <w:pPr>
        <w:rPr>
          <w:sz w:val="12"/>
          <w:lang w:val="nl-BE"/>
        </w:rPr>
      </w:pPr>
      <w:r w:rsidRPr="00E36C3A">
        <w:rPr>
          <w:sz w:val="12"/>
          <w:lang w:val="nl-BE"/>
        </w:rPr>
        <w:t>Zo kan de DNB niet aansprakelijk gesteld worden voor onder meer, maar niet hiertoe beperkt, de schade ten gevolge van:</w:t>
      </w:r>
    </w:p>
    <w:p w14:paraId="25B11E84" w14:textId="032A5299" w:rsidR="008F61D1" w:rsidRPr="00E36C3A" w:rsidRDefault="008F61D1" w:rsidP="008F61D1">
      <w:pPr>
        <w:pStyle w:val="Lijstalinea"/>
        <w:numPr>
          <w:ilvl w:val="0"/>
          <w:numId w:val="6"/>
        </w:numPr>
        <w:adjustRightInd/>
        <w:contextualSpacing w:val="0"/>
        <w:rPr>
          <w:sz w:val="12"/>
          <w:lang w:val="nl-BE"/>
        </w:rPr>
      </w:pPr>
      <w:r w:rsidRPr="00E36C3A">
        <w:rPr>
          <w:sz w:val="12"/>
          <w:lang w:val="nl-BE"/>
        </w:rPr>
        <w:t xml:space="preserve">een geval van overmacht of noodsituatie, volgens Artikel </w:t>
      </w:r>
      <w:r w:rsidRPr="00E36C3A">
        <w:rPr>
          <w:sz w:val="12"/>
        </w:rPr>
        <w:fldChar w:fldCharType="begin"/>
      </w:r>
      <w:r w:rsidRPr="00E36C3A">
        <w:rPr>
          <w:sz w:val="12"/>
          <w:lang w:val="nl-BE"/>
        </w:rPr>
        <w:instrText xml:space="preserve"> REF _Ref461098125 \r \h </w:instrText>
      </w:r>
      <w:r w:rsidR="00E36C3A" w:rsidRPr="00E36C3A">
        <w:rPr>
          <w:sz w:val="12"/>
          <w:lang w:val="nl-BE"/>
        </w:rPr>
        <w:instrText xml:space="preserve"> \* MERGEFORMAT </w:instrText>
      </w:r>
      <w:r w:rsidRPr="00E36C3A">
        <w:rPr>
          <w:sz w:val="12"/>
        </w:rPr>
      </w:r>
      <w:r w:rsidRPr="00E36C3A">
        <w:rPr>
          <w:sz w:val="12"/>
        </w:rPr>
        <w:fldChar w:fldCharType="separate"/>
      </w:r>
      <w:r w:rsidRPr="00E36C3A">
        <w:rPr>
          <w:sz w:val="12"/>
          <w:lang w:val="nl-BE"/>
        </w:rPr>
        <w:t>10.7</w:t>
      </w:r>
      <w:r w:rsidRPr="00E36C3A">
        <w:rPr>
          <w:sz w:val="12"/>
        </w:rPr>
        <w:fldChar w:fldCharType="end"/>
      </w:r>
    </w:p>
    <w:p w14:paraId="16EC65A1" w14:textId="77777777" w:rsidR="008F61D1" w:rsidRPr="00E36C3A" w:rsidRDefault="008F61D1" w:rsidP="008F61D1">
      <w:pPr>
        <w:pStyle w:val="Lijstalinea"/>
        <w:numPr>
          <w:ilvl w:val="0"/>
          <w:numId w:val="6"/>
        </w:numPr>
        <w:adjustRightInd/>
        <w:contextualSpacing w:val="0"/>
        <w:rPr>
          <w:sz w:val="12"/>
          <w:lang w:val="nl-BE"/>
        </w:rPr>
      </w:pPr>
      <w:r w:rsidRPr="00E36C3A">
        <w:rPr>
          <w:sz w:val="12"/>
          <w:lang w:val="nl-BE"/>
        </w:rPr>
        <w:t>een voorval van derden buiten de controle van de DNB;</w:t>
      </w:r>
    </w:p>
    <w:p w14:paraId="06038365" w14:textId="77777777" w:rsidR="008F61D1" w:rsidRPr="00E36C3A" w:rsidRDefault="008F61D1" w:rsidP="008F61D1">
      <w:pPr>
        <w:pStyle w:val="Lijstalinea"/>
        <w:numPr>
          <w:ilvl w:val="0"/>
          <w:numId w:val="6"/>
        </w:numPr>
        <w:adjustRightInd/>
        <w:contextualSpacing w:val="0"/>
        <w:rPr>
          <w:sz w:val="12"/>
          <w:lang w:val="nl-BE"/>
        </w:rPr>
      </w:pPr>
      <w:r w:rsidRPr="00E36C3A">
        <w:rPr>
          <w:sz w:val="12"/>
          <w:lang w:val="nl-BE"/>
        </w:rPr>
        <w:t>de DNG zelf, o.a. indien deze laatste de bepalingen van het Technisch Reglement en / of verbintenissen niet naleeft, onderschreven in de offerte of het Aansluitingscontract.</w:t>
      </w:r>
    </w:p>
    <w:p w14:paraId="4FD46C1E" w14:textId="77777777" w:rsidR="008F61D1" w:rsidRPr="00E36C3A" w:rsidRDefault="008F61D1" w:rsidP="008F61D1">
      <w:pPr>
        <w:rPr>
          <w:sz w:val="12"/>
          <w:lang w:val="nl-BE"/>
        </w:rPr>
      </w:pPr>
    </w:p>
    <w:p w14:paraId="23449E1B" w14:textId="09AF642B" w:rsidR="008F61D1" w:rsidRPr="00E36C3A" w:rsidRDefault="008F61D1" w:rsidP="008F61D1">
      <w:pPr>
        <w:rPr>
          <w:sz w:val="12"/>
          <w:lang w:val="nl-BE"/>
        </w:rPr>
      </w:pPr>
      <w:r w:rsidRPr="00E36C3A">
        <w:rPr>
          <w:sz w:val="12"/>
          <w:lang w:val="nl-BE"/>
        </w:rPr>
        <w:t xml:space="preserve">De Distributienetbeheerder meet de samenstelling of calorische waarde van het gas niet en kan niet aansprakelijk gesteld worden indien er afwijkingen zijn die vallen binnen de specificaties. De DNB kan ook niet instaan voor schade als gevolg van variaties van de druk die zich voordoen zonder overschrijding van de toegelaten drukniveaus, zoals vermeld in </w:t>
      </w:r>
      <w:r w:rsidRPr="00E36C3A">
        <w:rPr>
          <w:sz w:val="12"/>
        </w:rPr>
        <w:fldChar w:fldCharType="begin"/>
      </w:r>
      <w:r w:rsidRPr="00E36C3A">
        <w:rPr>
          <w:sz w:val="12"/>
          <w:lang w:val="nl-BE"/>
        </w:rPr>
        <w:instrText xml:space="preserve"> REF _Ref461096631 \r \h </w:instrText>
      </w:r>
      <w:r w:rsidR="00E36C3A" w:rsidRPr="00E36C3A">
        <w:rPr>
          <w:sz w:val="12"/>
          <w:lang w:val="nl-BE"/>
        </w:rPr>
        <w:instrText xml:space="preserve"> \* MERGEFORMAT </w:instrText>
      </w:r>
      <w:r w:rsidRPr="00E36C3A">
        <w:rPr>
          <w:sz w:val="12"/>
        </w:rPr>
      </w:r>
      <w:r w:rsidRPr="00E36C3A">
        <w:rPr>
          <w:sz w:val="12"/>
        </w:rPr>
        <w:fldChar w:fldCharType="separate"/>
      </w:r>
      <w:r w:rsidRPr="00E36C3A">
        <w:rPr>
          <w:sz w:val="12"/>
          <w:lang w:val="nl-BE"/>
        </w:rPr>
        <w:t>Artikel 8</w:t>
      </w:r>
      <w:r w:rsidRPr="00E36C3A">
        <w:rPr>
          <w:sz w:val="12"/>
        </w:rPr>
        <w:fldChar w:fldCharType="end"/>
      </w:r>
      <w:r w:rsidRPr="00E36C3A">
        <w:rPr>
          <w:sz w:val="12"/>
          <w:lang w:val="nl-BE"/>
        </w:rPr>
        <w:t>, en dit ongeacht de oorzaak ervan.</w:t>
      </w:r>
    </w:p>
    <w:p w14:paraId="1A72382B" w14:textId="77777777" w:rsidR="008F61D1" w:rsidRPr="00E36C3A" w:rsidRDefault="008F61D1" w:rsidP="008F61D1">
      <w:pPr>
        <w:rPr>
          <w:sz w:val="12"/>
          <w:lang w:val="nl-BE"/>
        </w:rPr>
      </w:pPr>
    </w:p>
    <w:p w14:paraId="2AE1929A" w14:textId="77777777" w:rsidR="008F61D1" w:rsidRPr="00E36C3A" w:rsidRDefault="008F61D1" w:rsidP="008F61D1">
      <w:pPr>
        <w:rPr>
          <w:sz w:val="12"/>
          <w:lang w:val="nl-BE"/>
        </w:rPr>
      </w:pPr>
      <w:r w:rsidRPr="00E36C3A">
        <w:rPr>
          <w:sz w:val="12"/>
          <w:lang w:val="nl-BE"/>
        </w:rPr>
        <w:t>Wanneer bij variaties van de druk de toegelaten drukniveaus zouden worden overschreden, heeft de DNG slechts recht op een schadevergoeding als deze het rechtstreekse gevolg zijn van een fout van de DNB, en dit overeenkomstig de hierna opgenomen bepalingen.</w:t>
      </w:r>
    </w:p>
    <w:p w14:paraId="2AC1F4A4" w14:textId="77777777" w:rsidR="008F61D1" w:rsidRPr="00E36C3A" w:rsidRDefault="008F61D1" w:rsidP="008F61D1">
      <w:pPr>
        <w:rPr>
          <w:sz w:val="12"/>
          <w:lang w:val="nl-BE"/>
        </w:rPr>
      </w:pPr>
    </w:p>
    <w:p w14:paraId="6DD2F11F" w14:textId="77777777" w:rsidR="008F61D1" w:rsidRPr="00E36C3A" w:rsidRDefault="008F61D1" w:rsidP="008F61D1">
      <w:pPr>
        <w:rPr>
          <w:sz w:val="12"/>
          <w:lang w:val="nl-BE"/>
        </w:rPr>
      </w:pPr>
      <w:r w:rsidRPr="00E36C3A">
        <w:rPr>
          <w:sz w:val="12"/>
          <w:lang w:val="nl-BE"/>
        </w:rPr>
        <w:t>Normale exploitatiehandelingen ten behoeve van het behoud van de kwaliteit, de veiligheid, de beschikbaarheid en de continuïteit van het Distributienet kunnen nooit als fout of nalatigheid vanwege de DNB aanzien worden.</w:t>
      </w:r>
    </w:p>
    <w:p w14:paraId="50791F48" w14:textId="77777777" w:rsidR="008F61D1" w:rsidRPr="00E36C3A" w:rsidRDefault="008F61D1" w:rsidP="008F61D1">
      <w:pPr>
        <w:rPr>
          <w:sz w:val="12"/>
          <w:lang w:val="nl-BE"/>
        </w:rPr>
      </w:pPr>
    </w:p>
    <w:p w14:paraId="51B1F215" w14:textId="77777777" w:rsidR="008F61D1" w:rsidRPr="00E36C3A" w:rsidRDefault="008F61D1" w:rsidP="008F61D1">
      <w:pPr>
        <w:rPr>
          <w:sz w:val="12"/>
          <w:lang w:val="nl-BE"/>
        </w:rPr>
      </w:pPr>
      <w:r w:rsidRPr="00E36C3A">
        <w:rPr>
          <w:sz w:val="12"/>
          <w:lang w:val="nl-BE"/>
        </w:rPr>
        <w:t>De DNB is niet aansprakelijk voor schade als gevolg van een gebrek in de zaak tenzij wordt aangetoond dat het gebrek te wijten is aan een fout van de DNB.</w:t>
      </w:r>
    </w:p>
    <w:p w14:paraId="32A1032B" w14:textId="77777777" w:rsidR="008F61D1" w:rsidRPr="00E36C3A" w:rsidRDefault="008F61D1" w:rsidP="008F61D1">
      <w:pPr>
        <w:rPr>
          <w:sz w:val="12"/>
          <w:lang w:val="nl-BE"/>
        </w:rPr>
      </w:pPr>
    </w:p>
    <w:p w14:paraId="660365E8" w14:textId="77777777" w:rsidR="008F61D1" w:rsidRPr="00E36C3A" w:rsidRDefault="008F61D1" w:rsidP="008F61D1">
      <w:pPr>
        <w:rPr>
          <w:sz w:val="12"/>
          <w:lang w:val="nl-BE"/>
        </w:rPr>
      </w:pPr>
      <w:r w:rsidRPr="00E36C3A">
        <w:rPr>
          <w:sz w:val="12"/>
          <w:lang w:val="nl-BE"/>
        </w:rPr>
        <w:t>Teneinde zijn recht op schadevergoeding te vrijwaren, zal de DNG uitsluitend installaties en/of toestellen gebruiken overeenkomstig de geldende Europese normering en zelf zorgen voor de nodige beveiligingen (zoals het eventueel plaatsen van stoffilters) indien hij apparatuur gebruikt die gevoelig is voor voornoemde of soortgelijke verschijnselen.</w:t>
      </w:r>
    </w:p>
    <w:p w14:paraId="2B695497" w14:textId="77777777" w:rsidR="008F61D1" w:rsidRPr="00E36C3A" w:rsidRDefault="008F61D1" w:rsidP="008F61D1">
      <w:pPr>
        <w:rPr>
          <w:sz w:val="12"/>
          <w:lang w:val="nl-BE"/>
        </w:rPr>
      </w:pPr>
    </w:p>
    <w:p w14:paraId="02DF007F" w14:textId="77777777" w:rsidR="008F61D1" w:rsidRPr="00E36C3A" w:rsidRDefault="008F61D1" w:rsidP="008F61D1">
      <w:pPr>
        <w:rPr>
          <w:sz w:val="12"/>
          <w:lang w:val="nl-BE"/>
        </w:rPr>
      </w:pPr>
      <w:r w:rsidRPr="00E36C3A">
        <w:rPr>
          <w:sz w:val="12"/>
          <w:lang w:val="nl-BE"/>
        </w:rPr>
        <w:t>Behoudens schade die het gevolg is van bedrog of opzet, waarvoor de DNB steeds volledig aansprakelijk is, is de aansprakelijkheid van de DNB voor schade die het gevolg is van onderbrekingen of variaties in het drukniveau op het Distributienet als volgt geregeld:</w:t>
      </w:r>
    </w:p>
    <w:p w14:paraId="4022C13B" w14:textId="77777777" w:rsidR="008F61D1" w:rsidRPr="00E36C3A" w:rsidRDefault="008F61D1" w:rsidP="008F61D1">
      <w:pPr>
        <w:pStyle w:val="Kop4"/>
        <w:numPr>
          <w:ilvl w:val="0"/>
          <w:numId w:val="8"/>
        </w:numPr>
        <w:spacing w:before="240"/>
        <w:rPr>
          <w:rFonts w:eastAsiaTheme="majorEastAsia" w:cs="Arial"/>
          <w:b w:val="0"/>
          <w:bCs w:val="0"/>
          <w:i/>
          <w:sz w:val="12"/>
          <w:szCs w:val="20"/>
          <w:u w:val="dotted"/>
          <w:lang w:val="nl-BE"/>
        </w:rPr>
      </w:pPr>
      <w:bookmarkStart w:id="142" w:name="_Toc466378836"/>
      <w:r w:rsidRPr="00E36C3A">
        <w:rPr>
          <w:rFonts w:eastAsiaTheme="majorEastAsia" w:cs="Arial"/>
          <w:b w:val="0"/>
          <w:bCs w:val="0"/>
          <w:i/>
          <w:sz w:val="12"/>
          <w:szCs w:val="20"/>
          <w:u w:val="dotted"/>
          <w:lang w:val="nl-BE"/>
        </w:rPr>
        <w:t>Lichamelijke schade en / of overlijden</w:t>
      </w:r>
      <w:bookmarkEnd w:id="142"/>
    </w:p>
    <w:p w14:paraId="105BDE03" w14:textId="77777777" w:rsidR="008F61D1" w:rsidRPr="00E36C3A" w:rsidRDefault="008F61D1" w:rsidP="008F61D1">
      <w:pPr>
        <w:rPr>
          <w:sz w:val="12"/>
          <w:lang w:val="nl-BE"/>
        </w:rPr>
      </w:pPr>
      <w:r w:rsidRPr="00E36C3A">
        <w:rPr>
          <w:sz w:val="12"/>
          <w:lang w:val="nl-BE"/>
        </w:rPr>
        <w:t>De DNB is steeds volledig aansprakelijk voor de door de DNG en andere netgebruikers geleden lichamelijke schade en/of overlijden.</w:t>
      </w:r>
    </w:p>
    <w:p w14:paraId="2F60E0F3" w14:textId="77777777" w:rsidR="008F61D1" w:rsidRPr="00E36C3A" w:rsidRDefault="008F61D1" w:rsidP="008F61D1">
      <w:pPr>
        <w:rPr>
          <w:sz w:val="12"/>
          <w:lang w:val="nl-BE"/>
        </w:rPr>
      </w:pPr>
    </w:p>
    <w:p w14:paraId="32A2852C" w14:textId="77777777" w:rsidR="008F61D1" w:rsidRPr="00E36C3A" w:rsidRDefault="008F61D1" w:rsidP="008F61D1">
      <w:pPr>
        <w:pStyle w:val="Kop4"/>
        <w:numPr>
          <w:ilvl w:val="0"/>
          <w:numId w:val="8"/>
        </w:numPr>
        <w:spacing w:before="240"/>
        <w:rPr>
          <w:rFonts w:eastAsiaTheme="majorEastAsia" w:cs="Arial"/>
          <w:b w:val="0"/>
          <w:bCs w:val="0"/>
          <w:i/>
          <w:sz w:val="12"/>
          <w:szCs w:val="20"/>
          <w:u w:val="dotted"/>
          <w:lang w:val="nl-BE"/>
        </w:rPr>
      </w:pPr>
      <w:bookmarkStart w:id="143" w:name="_Toc466378837"/>
      <w:bookmarkStart w:id="144" w:name="_Ref460443918"/>
      <w:r w:rsidRPr="00E36C3A">
        <w:rPr>
          <w:rFonts w:eastAsiaTheme="majorEastAsia" w:cs="Arial"/>
          <w:b w:val="0"/>
          <w:bCs w:val="0"/>
          <w:i/>
          <w:sz w:val="12"/>
          <w:szCs w:val="20"/>
          <w:u w:val="dotted"/>
          <w:lang w:val="nl-BE"/>
        </w:rPr>
        <w:t>Rechtstreekse materiële schade – forfaitaire berekening</w:t>
      </w:r>
      <w:bookmarkEnd w:id="143"/>
      <w:r w:rsidRPr="00E36C3A">
        <w:rPr>
          <w:rFonts w:eastAsiaTheme="majorEastAsia" w:cs="Arial"/>
          <w:b w:val="0"/>
          <w:bCs w:val="0"/>
          <w:i/>
          <w:sz w:val="12"/>
          <w:szCs w:val="20"/>
          <w:u w:val="dotted"/>
          <w:lang w:val="nl-BE"/>
        </w:rPr>
        <w:t xml:space="preserve"> </w:t>
      </w:r>
      <w:bookmarkEnd w:id="144"/>
    </w:p>
    <w:p w14:paraId="1FDBB9FC" w14:textId="77777777" w:rsidR="008F61D1" w:rsidRPr="00E36C3A" w:rsidRDefault="008F61D1" w:rsidP="008F61D1">
      <w:pPr>
        <w:rPr>
          <w:sz w:val="12"/>
          <w:lang w:val="nl-BE"/>
        </w:rPr>
      </w:pPr>
      <w:r w:rsidRPr="00E36C3A">
        <w:rPr>
          <w:sz w:val="12"/>
          <w:lang w:val="nl-BE"/>
        </w:rPr>
        <w:t>De DNB is aansprakelijk voor de door de DNG en andere netgebruikers geleden rechtstreekse, materiële schade.</w:t>
      </w:r>
    </w:p>
    <w:p w14:paraId="4B7AB996" w14:textId="77777777" w:rsidR="008F61D1" w:rsidRPr="00E36C3A" w:rsidRDefault="008F61D1" w:rsidP="008F61D1">
      <w:pPr>
        <w:rPr>
          <w:sz w:val="12"/>
          <w:lang w:val="nl-BE"/>
        </w:rPr>
      </w:pPr>
    </w:p>
    <w:p w14:paraId="3E2E7C72" w14:textId="77777777" w:rsidR="008F61D1" w:rsidRPr="00E36C3A" w:rsidRDefault="008F61D1" w:rsidP="008F61D1">
      <w:pPr>
        <w:rPr>
          <w:sz w:val="12"/>
          <w:lang w:val="nl-BE"/>
        </w:rPr>
      </w:pPr>
      <w:r w:rsidRPr="00E36C3A">
        <w:rPr>
          <w:sz w:val="12"/>
          <w:lang w:val="nl-BE"/>
        </w:rPr>
        <w:t xml:space="preserve">Onder rechtstreekse, materiële schade wordt begrepen: de schade die als rechtstreeks en onmiddellijk resultaat van de </w:t>
      </w:r>
      <w:proofErr w:type="spellStart"/>
      <w:r w:rsidRPr="00E36C3A">
        <w:rPr>
          <w:sz w:val="12"/>
          <w:lang w:val="nl-BE"/>
        </w:rPr>
        <w:t>schadeverwekkende</w:t>
      </w:r>
      <w:proofErr w:type="spellEnd"/>
      <w:r w:rsidRPr="00E36C3A">
        <w:rPr>
          <w:sz w:val="12"/>
          <w:lang w:val="nl-BE"/>
        </w:rPr>
        <w:t xml:space="preserve"> gebeurtenis wordt toegebracht aan een tastbare zaak van de DNG of een andere netgebruiker. </w:t>
      </w:r>
    </w:p>
    <w:p w14:paraId="1868E9CC" w14:textId="77777777" w:rsidR="008F61D1" w:rsidRPr="00E36C3A" w:rsidRDefault="008F61D1" w:rsidP="008F61D1">
      <w:pPr>
        <w:rPr>
          <w:sz w:val="12"/>
          <w:lang w:val="nl-BE"/>
        </w:rPr>
      </w:pPr>
      <w:r w:rsidRPr="00E36C3A">
        <w:rPr>
          <w:sz w:val="12"/>
          <w:lang w:val="nl-BE"/>
        </w:rPr>
        <w:t xml:space="preserve">Behoort hier niet toe: indirecte schade, zoals schade die voortvloeit uit bijzondere verbintenissen opgenomen door de aanvrager jegens derden (schadebedingen, forfaitaire boetes, “take or </w:t>
      </w:r>
      <w:proofErr w:type="spellStart"/>
      <w:r w:rsidRPr="00E36C3A">
        <w:rPr>
          <w:sz w:val="12"/>
          <w:lang w:val="nl-BE"/>
        </w:rPr>
        <w:t>pay</w:t>
      </w:r>
      <w:proofErr w:type="spellEnd"/>
      <w:r w:rsidRPr="00E36C3A">
        <w:rPr>
          <w:sz w:val="12"/>
          <w:lang w:val="nl-BE"/>
        </w:rPr>
        <w:t>” clausules, …), buitencontractuele (schade)vorderingen van derden, gederfde winst, verlies van omzet, verlies van gegevens, verlies van een kans, reputatieschade, morele schade, ...</w:t>
      </w:r>
    </w:p>
    <w:p w14:paraId="0BDDFC6C" w14:textId="77777777" w:rsidR="008F61D1" w:rsidRPr="00E36C3A" w:rsidRDefault="008F61D1" w:rsidP="008F61D1">
      <w:pPr>
        <w:rPr>
          <w:sz w:val="12"/>
          <w:lang w:val="nl-BE"/>
        </w:rPr>
      </w:pPr>
    </w:p>
    <w:p w14:paraId="5E296F62" w14:textId="77777777" w:rsidR="008F61D1" w:rsidRPr="00E36C3A" w:rsidRDefault="008F61D1" w:rsidP="008F61D1">
      <w:pPr>
        <w:rPr>
          <w:sz w:val="12"/>
          <w:lang w:val="nl-BE"/>
        </w:rPr>
      </w:pPr>
      <w:r w:rsidRPr="00E36C3A">
        <w:rPr>
          <w:sz w:val="12"/>
          <w:lang w:val="nl-BE"/>
        </w:rPr>
        <w:t xml:space="preserve">De aansprakelijkheid van de DNB is forfaitair geregeld zoals nader bepaald in Bijlage 1 “Bepaling van de forfaitaire schadevergoeding in het kader van het Aansluitingscontract aardgas middendruk voor afname van aardgas, met Aansluitingscapaciteit ≥ 300 m³(n)/h” (zie onder). </w:t>
      </w:r>
    </w:p>
    <w:p w14:paraId="76A2EC9F" w14:textId="77777777" w:rsidR="008F61D1" w:rsidRPr="00E36C3A" w:rsidRDefault="008F61D1" w:rsidP="008F61D1">
      <w:pPr>
        <w:rPr>
          <w:sz w:val="12"/>
          <w:lang w:val="nl-BE"/>
        </w:rPr>
      </w:pPr>
      <w:r w:rsidRPr="00E36C3A">
        <w:rPr>
          <w:sz w:val="12"/>
          <w:lang w:val="nl-BE"/>
        </w:rPr>
        <w:t>In geval van schade als gevolg van variaties in het drukniveau geldt een vrijstelling van 250 euro.</w:t>
      </w:r>
    </w:p>
    <w:p w14:paraId="635C90C9" w14:textId="77777777" w:rsidR="008F61D1" w:rsidRPr="00E36C3A" w:rsidRDefault="008F61D1" w:rsidP="008F61D1">
      <w:pPr>
        <w:rPr>
          <w:sz w:val="12"/>
          <w:lang w:val="nl-BE"/>
        </w:rPr>
      </w:pPr>
      <w:r w:rsidRPr="00E36C3A">
        <w:rPr>
          <w:sz w:val="12"/>
          <w:lang w:val="nl-BE"/>
        </w:rPr>
        <w:t xml:space="preserve">In geval van schade als gevolg van een onderbreking van de gastoevoer geldt de vrijstelling van 250 euro niet. </w:t>
      </w:r>
    </w:p>
    <w:p w14:paraId="712B6720" w14:textId="77777777" w:rsidR="008F61D1" w:rsidRPr="00E36C3A" w:rsidRDefault="008F61D1" w:rsidP="008F61D1">
      <w:pPr>
        <w:rPr>
          <w:sz w:val="12"/>
          <w:lang w:val="nl-BE"/>
        </w:rPr>
      </w:pPr>
    </w:p>
    <w:p w14:paraId="29203D59" w14:textId="77777777" w:rsidR="008F61D1" w:rsidRPr="00E36C3A" w:rsidRDefault="008F61D1" w:rsidP="008F61D1">
      <w:pPr>
        <w:rPr>
          <w:sz w:val="12"/>
          <w:lang w:val="nl-BE"/>
        </w:rPr>
      </w:pPr>
      <w:r w:rsidRPr="00E36C3A">
        <w:rPr>
          <w:sz w:val="12"/>
          <w:lang w:val="nl-BE"/>
        </w:rPr>
        <w:t xml:space="preserve">In afwijking van het eerst lid, is de DNB niet aansprakelijk voor rechtstreekse materiële schade: </w:t>
      </w:r>
    </w:p>
    <w:p w14:paraId="54DE4996" w14:textId="77777777" w:rsidR="008F61D1" w:rsidRPr="00E36C3A" w:rsidRDefault="008F61D1" w:rsidP="008F61D1">
      <w:pPr>
        <w:rPr>
          <w:sz w:val="12"/>
          <w:lang w:val="nl-BE"/>
        </w:rPr>
      </w:pPr>
    </w:p>
    <w:p w14:paraId="6EB9D98E" w14:textId="77777777" w:rsidR="008F61D1" w:rsidRPr="00E36C3A" w:rsidRDefault="008F61D1" w:rsidP="008F61D1">
      <w:pPr>
        <w:pStyle w:val="Lijstalinea"/>
        <w:numPr>
          <w:ilvl w:val="0"/>
          <w:numId w:val="6"/>
        </w:numPr>
        <w:adjustRightInd/>
        <w:contextualSpacing w:val="0"/>
        <w:rPr>
          <w:sz w:val="12"/>
          <w:lang w:val="nl-BE"/>
        </w:rPr>
      </w:pPr>
      <w:r w:rsidRPr="00E36C3A">
        <w:rPr>
          <w:sz w:val="12"/>
          <w:lang w:val="nl-BE"/>
        </w:rPr>
        <w:t>die het gevolg is van een onderbreking met een duur van minder dan één uur, zelfs wanneer deze onderbreking te wijten is aan een fout van de DNB; of</w:t>
      </w:r>
    </w:p>
    <w:p w14:paraId="6ADC0329" w14:textId="77777777" w:rsidR="008F61D1" w:rsidRPr="00E36C3A" w:rsidRDefault="008F61D1" w:rsidP="008F61D1">
      <w:pPr>
        <w:rPr>
          <w:sz w:val="12"/>
          <w:lang w:val="nl-BE"/>
        </w:rPr>
      </w:pPr>
    </w:p>
    <w:p w14:paraId="15722F5D" w14:textId="77777777" w:rsidR="008F61D1" w:rsidRPr="00E36C3A" w:rsidRDefault="008F61D1" w:rsidP="008F61D1">
      <w:pPr>
        <w:pStyle w:val="Lijstalinea"/>
        <w:numPr>
          <w:ilvl w:val="0"/>
          <w:numId w:val="6"/>
        </w:numPr>
        <w:adjustRightInd/>
        <w:contextualSpacing w:val="0"/>
        <w:rPr>
          <w:sz w:val="12"/>
          <w:lang w:val="nl-BE"/>
        </w:rPr>
      </w:pPr>
      <w:r w:rsidRPr="00E36C3A">
        <w:rPr>
          <w:sz w:val="12"/>
          <w:lang w:val="nl-BE"/>
        </w:rPr>
        <w:t xml:space="preserve">die het gevolg is van een onderbreking bij een DNG, waar de DNG niet is ingegaan op een door de DNB geboden mogelijkheid voor een Aansluiting op het Distributienet waarbij de kans op onderbreking kleiner zou zijn (vb. keuze heeft tussen één regellijn en een </w:t>
      </w:r>
      <w:proofErr w:type="spellStart"/>
      <w:r w:rsidRPr="00E36C3A">
        <w:rPr>
          <w:sz w:val="12"/>
          <w:lang w:val="nl-BE"/>
        </w:rPr>
        <w:t>dubbellijnse</w:t>
      </w:r>
      <w:proofErr w:type="spellEnd"/>
      <w:r w:rsidRPr="00E36C3A">
        <w:rPr>
          <w:sz w:val="12"/>
          <w:lang w:val="nl-BE"/>
        </w:rPr>
        <w:t xml:space="preserve"> installatie). </w:t>
      </w:r>
    </w:p>
    <w:p w14:paraId="588FB2D0" w14:textId="77777777" w:rsidR="008F61D1" w:rsidRPr="00E36C3A" w:rsidRDefault="008F61D1" w:rsidP="008F61D1">
      <w:pPr>
        <w:rPr>
          <w:sz w:val="12"/>
          <w:lang w:val="nl-BE"/>
        </w:rPr>
      </w:pPr>
    </w:p>
    <w:p w14:paraId="1BCBBFF7" w14:textId="77777777" w:rsidR="008F61D1" w:rsidRPr="00E36C3A" w:rsidRDefault="008F61D1" w:rsidP="008F61D1">
      <w:pPr>
        <w:rPr>
          <w:sz w:val="12"/>
          <w:lang w:val="nl-BE"/>
        </w:rPr>
      </w:pPr>
    </w:p>
    <w:p w14:paraId="72901782" w14:textId="77777777" w:rsidR="008F61D1" w:rsidRPr="00E36C3A" w:rsidRDefault="008F61D1" w:rsidP="008F61D1">
      <w:pPr>
        <w:pStyle w:val="Kop4"/>
        <w:numPr>
          <w:ilvl w:val="0"/>
          <w:numId w:val="8"/>
        </w:numPr>
        <w:spacing w:before="240"/>
        <w:rPr>
          <w:rFonts w:eastAsiaTheme="majorEastAsia" w:cs="Arial"/>
          <w:b w:val="0"/>
          <w:bCs w:val="0"/>
          <w:i/>
          <w:sz w:val="12"/>
          <w:szCs w:val="20"/>
          <w:u w:val="dotted"/>
          <w:lang w:val="nl-BE"/>
        </w:rPr>
      </w:pPr>
      <w:bookmarkStart w:id="145" w:name="_Toc466378838"/>
      <w:r w:rsidRPr="00E36C3A">
        <w:rPr>
          <w:rFonts w:eastAsiaTheme="majorEastAsia" w:cs="Arial"/>
          <w:b w:val="0"/>
          <w:bCs w:val="0"/>
          <w:i/>
          <w:sz w:val="12"/>
          <w:szCs w:val="20"/>
          <w:u w:val="dotted"/>
          <w:lang w:val="nl-BE"/>
        </w:rPr>
        <w:t xml:space="preserve">Andere schade - </w:t>
      </w:r>
      <w:proofErr w:type="spellStart"/>
      <w:r w:rsidRPr="00E36C3A">
        <w:rPr>
          <w:rFonts w:eastAsiaTheme="majorEastAsia" w:cs="Arial"/>
          <w:b w:val="0"/>
          <w:bCs w:val="0"/>
          <w:i/>
          <w:sz w:val="12"/>
          <w:szCs w:val="20"/>
          <w:u w:val="dotted"/>
          <w:lang w:val="nl-BE"/>
        </w:rPr>
        <w:t>exoneratie</w:t>
      </w:r>
      <w:bookmarkEnd w:id="145"/>
      <w:proofErr w:type="spellEnd"/>
    </w:p>
    <w:p w14:paraId="1CE2B995" w14:textId="77777777" w:rsidR="008F61D1" w:rsidRPr="00E36C3A" w:rsidRDefault="008F61D1" w:rsidP="008F61D1">
      <w:pPr>
        <w:rPr>
          <w:sz w:val="12"/>
          <w:lang w:val="nl-BE"/>
        </w:rPr>
      </w:pPr>
      <w:r w:rsidRPr="00E36C3A">
        <w:rPr>
          <w:sz w:val="12"/>
          <w:lang w:val="nl-BE"/>
        </w:rPr>
        <w:t>De DNB is niet aansprakelijk voor onrechtstreekse materiële schade, noch voor (rechtstreekse of onrechtstreekse) immateriële schade.</w:t>
      </w:r>
    </w:p>
    <w:p w14:paraId="40F65D93" w14:textId="77777777" w:rsidR="008F61D1" w:rsidRPr="00E36C3A" w:rsidRDefault="008F61D1" w:rsidP="008F61D1">
      <w:pPr>
        <w:rPr>
          <w:sz w:val="12"/>
          <w:lang w:val="nl-BE"/>
        </w:rPr>
      </w:pPr>
    </w:p>
    <w:p w14:paraId="46709F14" w14:textId="77777777" w:rsidR="008F61D1" w:rsidRPr="00E36C3A" w:rsidRDefault="008F61D1" w:rsidP="008F61D1">
      <w:pPr>
        <w:pStyle w:val="Kop4"/>
        <w:numPr>
          <w:ilvl w:val="0"/>
          <w:numId w:val="8"/>
        </w:numPr>
        <w:spacing w:before="240"/>
        <w:rPr>
          <w:rFonts w:eastAsiaTheme="majorEastAsia" w:cs="Arial"/>
          <w:b w:val="0"/>
          <w:bCs w:val="0"/>
          <w:i/>
          <w:sz w:val="12"/>
          <w:szCs w:val="20"/>
          <w:u w:val="dotted"/>
          <w:lang w:val="nl-BE"/>
        </w:rPr>
      </w:pPr>
      <w:bookmarkStart w:id="146" w:name="_Toc466378839"/>
      <w:r w:rsidRPr="00E36C3A">
        <w:rPr>
          <w:rFonts w:eastAsiaTheme="majorEastAsia" w:cs="Arial"/>
          <w:b w:val="0"/>
          <w:bCs w:val="0"/>
          <w:i/>
          <w:sz w:val="12"/>
          <w:szCs w:val="20"/>
          <w:u w:val="dotted"/>
          <w:lang w:val="nl-BE"/>
        </w:rPr>
        <w:lastRenderedPageBreak/>
        <w:t>Plafond vergoedingen</w:t>
      </w:r>
      <w:bookmarkEnd w:id="146"/>
    </w:p>
    <w:p w14:paraId="69939176" w14:textId="77777777" w:rsidR="008F61D1" w:rsidRPr="00E36C3A" w:rsidRDefault="008F61D1" w:rsidP="008F61D1">
      <w:pPr>
        <w:rPr>
          <w:sz w:val="12"/>
          <w:lang w:val="nl-BE"/>
        </w:rPr>
      </w:pPr>
      <w:r w:rsidRPr="00E36C3A">
        <w:rPr>
          <w:sz w:val="12"/>
          <w:lang w:val="nl-BE"/>
        </w:rPr>
        <w:t xml:space="preserve">De totale vergoeding voor de schade die het gevolg is van een incident, zowel deze van de netgebruikers met een aansluitingscapaciteit </w:t>
      </w:r>
      <w:r w:rsidRPr="00E36C3A">
        <w:rPr>
          <w:rFonts w:cs="Arial"/>
          <w:sz w:val="12"/>
          <w:lang w:val="nl-BE"/>
        </w:rPr>
        <w:t>≤</w:t>
      </w:r>
      <w:r w:rsidRPr="00E36C3A">
        <w:rPr>
          <w:sz w:val="12"/>
          <w:lang w:val="nl-BE"/>
        </w:rPr>
        <w:t xml:space="preserve"> 300 m³(n)/h, als deze van de netgebruikers met aansluitingscapaciteit ≥ 300 m³(n)/h, kan in geen enkel geval hoger zijn dan het totale bedrag aan werkelijke door iedere DNG geleden rechtstreekse, materiële schade met een absoluut plafond van €2 miljoen (de ‘maximale totale vergoeding’). </w:t>
      </w:r>
    </w:p>
    <w:p w14:paraId="5D405BD8" w14:textId="77777777" w:rsidR="008F61D1" w:rsidRPr="00E36C3A" w:rsidRDefault="008F61D1" w:rsidP="008F61D1">
      <w:pPr>
        <w:rPr>
          <w:sz w:val="12"/>
          <w:lang w:val="nl-BE"/>
        </w:rPr>
      </w:pPr>
    </w:p>
    <w:p w14:paraId="0910509A" w14:textId="77777777" w:rsidR="008F61D1" w:rsidRPr="00E36C3A" w:rsidRDefault="008F61D1" w:rsidP="008F61D1">
      <w:pPr>
        <w:rPr>
          <w:sz w:val="12"/>
          <w:lang w:val="nl-BE"/>
        </w:rPr>
      </w:pPr>
      <w:r w:rsidRPr="00E36C3A">
        <w:rPr>
          <w:sz w:val="12"/>
          <w:lang w:val="nl-BE"/>
        </w:rPr>
        <w:t xml:space="preserve">Deze maximale totale vergoeding dekt het totaal van alle bedragen waartoe de DNB ingevolge dat incident gehouden is ten aanzien van alle getroffen netgebruikers samen, op basis van: </w:t>
      </w:r>
    </w:p>
    <w:p w14:paraId="51F0E355" w14:textId="77777777" w:rsidR="008F61D1" w:rsidRPr="00E36C3A" w:rsidRDefault="008F61D1" w:rsidP="008F61D1">
      <w:pPr>
        <w:rPr>
          <w:sz w:val="12"/>
          <w:lang w:val="nl-BE"/>
        </w:rPr>
      </w:pPr>
    </w:p>
    <w:p w14:paraId="214E2758" w14:textId="77777777" w:rsidR="008F61D1" w:rsidRPr="00E36C3A" w:rsidRDefault="008F61D1" w:rsidP="008F61D1">
      <w:pPr>
        <w:pStyle w:val="Lijstalinea"/>
        <w:numPr>
          <w:ilvl w:val="0"/>
          <w:numId w:val="11"/>
        </w:numPr>
        <w:adjustRightInd/>
        <w:contextualSpacing w:val="0"/>
        <w:rPr>
          <w:sz w:val="12"/>
          <w:lang w:val="nl-BE"/>
        </w:rPr>
      </w:pPr>
      <w:r w:rsidRPr="00E36C3A">
        <w:rPr>
          <w:sz w:val="12"/>
          <w:lang w:val="nl-BE"/>
        </w:rPr>
        <w:t xml:space="preserve">de op basis van het Energiedecreet toepasselijke schadevergoedingsregelingen aan </w:t>
      </w:r>
      <w:proofErr w:type="spellStart"/>
      <w:r w:rsidRPr="00E36C3A">
        <w:rPr>
          <w:sz w:val="12"/>
          <w:lang w:val="nl-BE"/>
        </w:rPr>
        <w:t>DNG’s</w:t>
      </w:r>
      <w:proofErr w:type="spellEnd"/>
      <w:r w:rsidRPr="00E36C3A">
        <w:rPr>
          <w:sz w:val="12"/>
          <w:lang w:val="nl-BE"/>
        </w:rPr>
        <w:t xml:space="preserve"> met aansluitingscapaciteit ≤ 300 m³(n)/h; </w:t>
      </w:r>
    </w:p>
    <w:p w14:paraId="4E483149" w14:textId="77777777" w:rsidR="008F61D1" w:rsidRPr="00E36C3A" w:rsidRDefault="008F61D1" w:rsidP="008F61D1">
      <w:pPr>
        <w:rPr>
          <w:sz w:val="12"/>
          <w:lang w:val="nl-BE"/>
        </w:rPr>
      </w:pPr>
    </w:p>
    <w:p w14:paraId="4297A0F3" w14:textId="7C7CB7B3" w:rsidR="008F61D1" w:rsidRPr="00E36C3A" w:rsidRDefault="008F61D1" w:rsidP="008F61D1">
      <w:pPr>
        <w:pStyle w:val="Lijstalinea"/>
        <w:numPr>
          <w:ilvl w:val="0"/>
          <w:numId w:val="11"/>
        </w:numPr>
        <w:adjustRightInd/>
        <w:contextualSpacing w:val="0"/>
        <w:rPr>
          <w:sz w:val="12"/>
          <w:lang w:val="nl-BE"/>
        </w:rPr>
      </w:pPr>
      <w:r w:rsidRPr="00E36C3A">
        <w:rPr>
          <w:sz w:val="12"/>
          <w:lang w:val="nl-BE"/>
        </w:rPr>
        <w:t xml:space="preserve">de forfaitair berekende schadevergoeding die wordt uitbetaald aan </w:t>
      </w:r>
      <w:proofErr w:type="spellStart"/>
      <w:r w:rsidRPr="00E36C3A">
        <w:rPr>
          <w:sz w:val="12"/>
          <w:lang w:val="nl-BE"/>
        </w:rPr>
        <w:t>DNG’s</w:t>
      </w:r>
      <w:proofErr w:type="spellEnd"/>
      <w:r w:rsidRPr="00E36C3A">
        <w:rPr>
          <w:sz w:val="12"/>
          <w:lang w:val="nl-BE"/>
        </w:rPr>
        <w:t xml:space="preserve"> met aansluitingscapaciteit ≥ 300 m³(n)/h</w:t>
      </w:r>
      <w:r w:rsidRPr="00E36C3A" w:rsidDel="00F85C0B">
        <w:rPr>
          <w:sz w:val="12"/>
          <w:lang w:val="nl-BE"/>
        </w:rPr>
        <w:t xml:space="preserve"> </w:t>
      </w:r>
      <w:r w:rsidRPr="00E36C3A">
        <w:rPr>
          <w:sz w:val="12"/>
          <w:lang w:val="nl-BE"/>
        </w:rPr>
        <w:t xml:space="preserve">bij fout van de DNB, conform </w:t>
      </w:r>
      <w:r w:rsidRPr="00E36C3A">
        <w:rPr>
          <w:sz w:val="12"/>
        </w:rPr>
        <w:fldChar w:fldCharType="begin"/>
      </w:r>
      <w:r w:rsidRPr="00E36C3A">
        <w:rPr>
          <w:sz w:val="12"/>
          <w:lang w:val="nl-BE"/>
        </w:rPr>
        <w:instrText xml:space="preserve"> REF _Ref460443916 \r </w:instrText>
      </w:r>
      <w:r w:rsidR="00E36C3A" w:rsidRPr="00E36C3A">
        <w:rPr>
          <w:sz w:val="12"/>
          <w:lang w:val="nl-BE"/>
        </w:rPr>
        <w:instrText xml:space="preserve"> \* MERGEFORMAT </w:instrText>
      </w:r>
      <w:r w:rsidRPr="00E36C3A">
        <w:rPr>
          <w:sz w:val="12"/>
        </w:rPr>
        <w:fldChar w:fldCharType="separate"/>
      </w:r>
      <w:r w:rsidRPr="00E36C3A">
        <w:rPr>
          <w:sz w:val="12"/>
          <w:lang w:val="nl-BE"/>
        </w:rPr>
        <w:t>10.2</w:t>
      </w:r>
      <w:r w:rsidRPr="00E36C3A">
        <w:rPr>
          <w:sz w:val="12"/>
        </w:rPr>
        <w:fldChar w:fldCharType="end"/>
      </w:r>
      <w:r w:rsidRPr="00E36C3A">
        <w:rPr>
          <w:sz w:val="12"/>
          <w:lang w:val="nl-BE"/>
        </w:rPr>
        <w:t xml:space="preserve"> </w:t>
      </w:r>
      <w:r w:rsidRPr="00E36C3A">
        <w:rPr>
          <w:sz w:val="12"/>
        </w:rPr>
        <w:fldChar w:fldCharType="begin"/>
      </w:r>
      <w:r w:rsidRPr="00E36C3A">
        <w:rPr>
          <w:sz w:val="12"/>
          <w:lang w:val="nl-BE"/>
        </w:rPr>
        <w:instrText xml:space="preserve"> REF _Ref460443918 \r </w:instrText>
      </w:r>
      <w:r w:rsidR="00E36C3A" w:rsidRPr="00E36C3A">
        <w:rPr>
          <w:sz w:val="12"/>
          <w:lang w:val="nl-BE"/>
        </w:rPr>
        <w:instrText xml:space="preserve"> \* MERGEFORMAT </w:instrText>
      </w:r>
      <w:r w:rsidRPr="00E36C3A">
        <w:rPr>
          <w:sz w:val="12"/>
        </w:rPr>
        <w:fldChar w:fldCharType="separate"/>
      </w:r>
      <w:r w:rsidRPr="00E36C3A">
        <w:rPr>
          <w:sz w:val="12"/>
          <w:lang w:val="nl-BE"/>
        </w:rPr>
        <w:t>b)</w:t>
      </w:r>
      <w:r w:rsidRPr="00E36C3A">
        <w:rPr>
          <w:sz w:val="12"/>
        </w:rPr>
        <w:fldChar w:fldCharType="end"/>
      </w:r>
      <w:r w:rsidRPr="00E36C3A">
        <w:rPr>
          <w:sz w:val="12"/>
          <w:lang w:val="nl-BE"/>
        </w:rPr>
        <w:t xml:space="preserve"> uit deze algemene voorwaarden of conform de gelijkaardige bepalingen bij </w:t>
      </w:r>
      <w:proofErr w:type="spellStart"/>
      <w:r w:rsidRPr="00E36C3A">
        <w:rPr>
          <w:sz w:val="12"/>
          <w:lang w:val="nl-BE"/>
        </w:rPr>
        <w:t>DNG’s</w:t>
      </w:r>
      <w:proofErr w:type="spellEnd"/>
      <w:r w:rsidRPr="00E36C3A">
        <w:rPr>
          <w:sz w:val="12"/>
          <w:lang w:val="nl-BE"/>
        </w:rPr>
        <w:t xml:space="preserve"> met aansluitingscapaciteit ≥ 300 m³(n)/h voor wie nog een aansluitingsovereenkomst van toepassing is die dateert van voor de inwerkingtreding van de onderhavige algemene voorwaarden.</w:t>
      </w:r>
    </w:p>
    <w:p w14:paraId="4E06658A" w14:textId="77777777" w:rsidR="008F61D1" w:rsidRPr="00E36C3A" w:rsidRDefault="008F61D1" w:rsidP="008F61D1">
      <w:pPr>
        <w:rPr>
          <w:sz w:val="12"/>
          <w:lang w:val="nl-BE"/>
        </w:rPr>
      </w:pPr>
    </w:p>
    <w:p w14:paraId="6672421C" w14:textId="77777777" w:rsidR="008F61D1" w:rsidRPr="00E36C3A" w:rsidRDefault="008F61D1" w:rsidP="008F61D1">
      <w:pPr>
        <w:rPr>
          <w:sz w:val="12"/>
          <w:lang w:val="nl-BE"/>
        </w:rPr>
      </w:pPr>
      <w:r w:rsidRPr="00E36C3A">
        <w:rPr>
          <w:sz w:val="12"/>
          <w:lang w:val="nl-BE"/>
        </w:rPr>
        <w:t xml:space="preserve">Bovendien is het totaal van de bedragen die bedoeld worden onder punt 2) van deze opsomming, dat kan worden uitbetaald aan het geheel van alle getroffen </w:t>
      </w:r>
      <w:proofErr w:type="spellStart"/>
      <w:r w:rsidRPr="00E36C3A">
        <w:rPr>
          <w:sz w:val="12"/>
          <w:lang w:val="nl-BE"/>
        </w:rPr>
        <w:t>DNG’s</w:t>
      </w:r>
      <w:proofErr w:type="spellEnd"/>
      <w:r w:rsidRPr="00E36C3A">
        <w:rPr>
          <w:sz w:val="12"/>
          <w:lang w:val="nl-BE"/>
        </w:rPr>
        <w:t xml:space="preserve"> met aansluitingscapaciteit ≥ 300 m³(n)/h</w:t>
      </w:r>
      <w:r w:rsidRPr="00E36C3A" w:rsidDel="00F85C0B">
        <w:rPr>
          <w:sz w:val="12"/>
          <w:lang w:val="nl-BE"/>
        </w:rPr>
        <w:t xml:space="preserve"> </w:t>
      </w:r>
      <w:r w:rsidRPr="00E36C3A">
        <w:rPr>
          <w:sz w:val="12"/>
          <w:lang w:val="nl-BE"/>
        </w:rPr>
        <w:t xml:space="preserve">die hiervoor in aanmerking komen ten gevolge van een zelfde incident, beperkt tot een maximum van €625.000.   </w:t>
      </w:r>
    </w:p>
    <w:p w14:paraId="485F2A5A" w14:textId="77777777" w:rsidR="008F61D1" w:rsidRPr="00E36C3A" w:rsidRDefault="008F61D1" w:rsidP="008F61D1">
      <w:pPr>
        <w:rPr>
          <w:sz w:val="12"/>
          <w:lang w:val="nl-BE"/>
        </w:rPr>
      </w:pPr>
    </w:p>
    <w:p w14:paraId="05E8940B" w14:textId="77777777" w:rsidR="008F61D1" w:rsidRPr="00E36C3A" w:rsidRDefault="008F61D1" w:rsidP="008F61D1">
      <w:pPr>
        <w:rPr>
          <w:sz w:val="12"/>
          <w:lang w:val="nl-BE"/>
        </w:rPr>
      </w:pPr>
      <w:r w:rsidRPr="00E36C3A">
        <w:rPr>
          <w:sz w:val="12"/>
          <w:lang w:val="nl-BE"/>
        </w:rPr>
        <w:t>Indien het plafond van €625.000 bereikt of overschreden wordt zullen de vorderingen van de DNG en de andere betrokken netgebruikers aangesloten op middendruk en met aansluitingscapaciteit ≥ 300 m³(n)/h naar evenredigheid worden voldaan.</w:t>
      </w:r>
    </w:p>
    <w:p w14:paraId="46841933" w14:textId="77777777" w:rsidR="008F61D1" w:rsidRPr="00E36C3A" w:rsidRDefault="008F61D1" w:rsidP="008F61D1">
      <w:pPr>
        <w:rPr>
          <w:sz w:val="12"/>
          <w:lang w:val="nl-BE"/>
        </w:rPr>
      </w:pPr>
    </w:p>
    <w:p w14:paraId="54C7A400" w14:textId="77777777" w:rsidR="008F61D1" w:rsidRPr="00E36C3A" w:rsidRDefault="008F61D1" w:rsidP="008F61D1">
      <w:pPr>
        <w:rPr>
          <w:sz w:val="12"/>
          <w:lang w:val="nl-BE"/>
        </w:rPr>
      </w:pPr>
      <w:r w:rsidRPr="00E36C3A">
        <w:rPr>
          <w:sz w:val="12"/>
          <w:lang w:val="nl-BE"/>
        </w:rPr>
        <w:t>Indien het plafond van de maximale totale vergoeding bereikt of overschreden wordt, zullen de vorderingen van de DNG en alle andere betrokken netgebruikers naar evenredigheid worden voldaan.</w:t>
      </w:r>
    </w:p>
    <w:p w14:paraId="09EB721D" w14:textId="77777777" w:rsidR="008F61D1" w:rsidRPr="00E36C3A" w:rsidRDefault="008F61D1" w:rsidP="008F61D1">
      <w:pPr>
        <w:rPr>
          <w:sz w:val="12"/>
          <w:lang w:val="nl-BE"/>
        </w:rPr>
      </w:pPr>
    </w:p>
    <w:p w14:paraId="28857B68" w14:textId="77777777" w:rsidR="008F61D1" w:rsidRPr="00E36C3A" w:rsidRDefault="008F61D1" w:rsidP="008F61D1">
      <w:pPr>
        <w:pStyle w:val="Kop2"/>
        <w:keepNext/>
        <w:keepLines/>
        <w:numPr>
          <w:ilvl w:val="1"/>
          <w:numId w:val="7"/>
        </w:numPr>
        <w:autoSpaceDE/>
        <w:autoSpaceDN/>
        <w:adjustRightInd/>
        <w:spacing w:before="200"/>
        <w:ind w:left="567" w:hanging="567"/>
        <w:jc w:val="both"/>
        <w:rPr>
          <w:rFonts w:eastAsiaTheme="majorEastAsia" w:cs="Arial"/>
          <w:sz w:val="14"/>
          <w:szCs w:val="22"/>
          <w:lang w:val="nl-BE"/>
        </w:rPr>
      </w:pPr>
      <w:bookmarkStart w:id="147" w:name="_Toc466378840"/>
      <w:r w:rsidRPr="00E36C3A">
        <w:rPr>
          <w:rFonts w:eastAsiaTheme="majorEastAsia" w:cs="Arial"/>
          <w:sz w:val="14"/>
          <w:szCs w:val="22"/>
          <w:lang w:val="nl-BE"/>
        </w:rPr>
        <w:t>Laattijdige aansluiting en heraansluiting</w:t>
      </w:r>
      <w:bookmarkEnd w:id="147"/>
    </w:p>
    <w:p w14:paraId="23DC1974" w14:textId="77777777" w:rsidR="008F61D1" w:rsidRPr="00E36C3A" w:rsidRDefault="008F61D1" w:rsidP="001C0F03">
      <w:pPr>
        <w:pStyle w:val="Kop3"/>
      </w:pPr>
      <w:bookmarkStart w:id="148" w:name="_Ref460444422"/>
      <w:bookmarkStart w:id="149" w:name="_Toc466378841"/>
      <w:r w:rsidRPr="00E36C3A">
        <w:t>Foutaansprakelijkheid</w:t>
      </w:r>
      <w:bookmarkEnd w:id="148"/>
      <w:bookmarkEnd w:id="149"/>
    </w:p>
    <w:p w14:paraId="4DC9345B" w14:textId="77777777" w:rsidR="008F61D1" w:rsidRPr="00E36C3A" w:rsidRDefault="008F61D1" w:rsidP="008F61D1">
      <w:pPr>
        <w:rPr>
          <w:sz w:val="12"/>
          <w:lang w:val="nl-BE"/>
        </w:rPr>
      </w:pPr>
      <w:r w:rsidRPr="00E36C3A">
        <w:rPr>
          <w:sz w:val="12"/>
          <w:lang w:val="nl-BE"/>
        </w:rPr>
        <w:t>Met inachtneming van de hierna genoemde regels is de DNB uitsluitend aansprakelijk voor de schade van de DNG die het gevolg is van een laattijdige aansluiting of heraansluiting, wanneer is aangetoond dat deze schade het rechtstreekse gevolg is van een aan de DNB toerekenbare fout.</w:t>
      </w:r>
    </w:p>
    <w:p w14:paraId="3AEA7042" w14:textId="77777777" w:rsidR="008F61D1" w:rsidRPr="00E36C3A" w:rsidRDefault="008F61D1" w:rsidP="008F61D1">
      <w:pPr>
        <w:rPr>
          <w:sz w:val="12"/>
          <w:lang w:val="nl-BE"/>
        </w:rPr>
      </w:pPr>
    </w:p>
    <w:p w14:paraId="4EE16EB7" w14:textId="77777777" w:rsidR="008F61D1" w:rsidRPr="00E36C3A" w:rsidRDefault="008F61D1" w:rsidP="008F61D1">
      <w:pPr>
        <w:rPr>
          <w:sz w:val="12"/>
          <w:lang w:val="nl-BE"/>
        </w:rPr>
      </w:pPr>
      <w:r w:rsidRPr="00E36C3A">
        <w:rPr>
          <w:sz w:val="12"/>
          <w:lang w:val="nl-BE"/>
        </w:rPr>
        <w:t>Zo kan de DNB niet aansprakelijk gesteld worden voor onder meer, maar niet hiertoe beperkt, de schade ten gevolge van:</w:t>
      </w:r>
    </w:p>
    <w:p w14:paraId="39613B0C" w14:textId="57A0548F" w:rsidR="008F61D1" w:rsidRPr="00E36C3A" w:rsidRDefault="008F61D1" w:rsidP="008F61D1">
      <w:pPr>
        <w:pStyle w:val="Lijstalinea"/>
        <w:numPr>
          <w:ilvl w:val="0"/>
          <w:numId w:val="12"/>
        </w:numPr>
        <w:adjustRightInd/>
        <w:contextualSpacing w:val="0"/>
        <w:rPr>
          <w:sz w:val="12"/>
          <w:lang w:val="nl-BE"/>
        </w:rPr>
      </w:pPr>
      <w:r w:rsidRPr="00E36C3A">
        <w:rPr>
          <w:sz w:val="12"/>
          <w:lang w:val="nl-BE"/>
        </w:rPr>
        <w:t xml:space="preserve">een geval van overmacht of noodsituatie, volgens Artikel </w:t>
      </w:r>
      <w:r w:rsidRPr="00E36C3A">
        <w:rPr>
          <w:sz w:val="12"/>
        </w:rPr>
        <w:fldChar w:fldCharType="begin"/>
      </w:r>
      <w:r w:rsidRPr="00E36C3A">
        <w:rPr>
          <w:sz w:val="12"/>
          <w:lang w:val="nl-BE"/>
        </w:rPr>
        <w:instrText xml:space="preserve"> REF _Ref460444137 \r </w:instrText>
      </w:r>
      <w:r w:rsidR="00E36C3A" w:rsidRPr="00E36C3A">
        <w:rPr>
          <w:sz w:val="12"/>
          <w:lang w:val="nl-BE"/>
        </w:rPr>
        <w:instrText xml:space="preserve"> \* MERGEFORMAT </w:instrText>
      </w:r>
      <w:r w:rsidRPr="00E36C3A">
        <w:rPr>
          <w:sz w:val="12"/>
        </w:rPr>
        <w:fldChar w:fldCharType="separate"/>
      </w:r>
      <w:r w:rsidRPr="00E36C3A">
        <w:rPr>
          <w:sz w:val="12"/>
          <w:lang w:val="nl-BE"/>
        </w:rPr>
        <w:t>10.5</w:t>
      </w:r>
      <w:r w:rsidRPr="00E36C3A">
        <w:rPr>
          <w:sz w:val="12"/>
        </w:rPr>
        <w:fldChar w:fldCharType="end"/>
      </w:r>
    </w:p>
    <w:p w14:paraId="622309A8" w14:textId="77777777" w:rsidR="008F61D1" w:rsidRPr="00E36C3A" w:rsidRDefault="008F61D1" w:rsidP="008F61D1">
      <w:pPr>
        <w:pStyle w:val="Lijstalinea"/>
        <w:numPr>
          <w:ilvl w:val="0"/>
          <w:numId w:val="12"/>
        </w:numPr>
        <w:adjustRightInd/>
        <w:contextualSpacing w:val="0"/>
        <w:rPr>
          <w:sz w:val="12"/>
          <w:lang w:val="nl-BE"/>
        </w:rPr>
      </w:pPr>
      <w:r w:rsidRPr="00E36C3A">
        <w:rPr>
          <w:sz w:val="12"/>
          <w:lang w:val="nl-BE"/>
        </w:rPr>
        <w:t>een voorval van derden buiten de controle van de DNB;</w:t>
      </w:r>
    </w:p>
    <w:p w14:paraId="75366B1D" w14:textId="77777777" w:rsidR="008F61D1" w:rsidRPr="00E36C3A" w:rsidRDefault="008F61D1" w:rsidP="008F61D1">
      <w:pPr>
        <w:pStyle w:val="Lijstalinea"/>
        <w:numPr>
          <w:ilvl w:val="0"/>
          <w:numId w:val="12"/>
        </w:numPr>
        <w:adjustRightInd/>
        <w:contextualSpacing w:val="0"/>
        <w:rPr>
          <w:sz w:val="12"/>
          <w:lang w:val="nl-BE"/>
        </w:rPr>
      </w:pPr>
      <w:r w:rsidRPr="00E36C3A">
        <w:rPr>
          <w:sz w:val="12"/>
          <w:lang w:val="nl-BE"/>
        </w:rPr>
        <w:t>de DNG zelf, o.a. indien deze laatste de bepalingen van het Technisch Reglement en / of verbintenissen niet naleeft, onderschreven in de offerte of het Aansluitingscontract.</w:t>
      </w:r>
    </w:p>
    <w:p w14:paraId="43B825C1" w14:textId="77777777" w:rsidR="008F61D1" w:rsidRPr="00E36C3A" w:rsidRDefault="008F61D1" w:rsidP="008F61D1">
      <w:pPr>
        <w:rPr>
          <w:sz w:val="12"/>
          <w:lang w:val="nl-BE"/>
        </w:rPr>
      </w:pPr>
    </w:p>
    <w:p w14:paraId="0A8D3E73" w14:textId="77777777" w:rsidR="008F61D1" w:rsidRPr="00E36C3A" w:rsidRDefault="008F61D1" w:rsidP="008F61D1">
      <w:pPr>
        <w:rPr>
          <w:sz w:val="12"/>
          <w:lang w:val="nl-BE"/>
        </w:rPr>
      </w:pPr>
      <w:r w:rsidRPr="00E36C3A">
        <w:rPr>
          <w:sz w:val="12"/>
          <w:lang w:val="nl-BE"/>
        </w:rPr>
        <w:t>Behoudens schade die het gevolg is van bedrog of opzet, waarvoor de DNB steeds volledig aansprakelijk is, is de aansprakelijkheid van de DNB voor schade die het gevolg is van laattijdige aansluiting of heraansluiting als volgt geregeld:</w:t>
      </w:r>
    </w:p>
    <w:p w14:paraId="67A17361" w14:textId="77777777" w:rsidR="008F61D1" w:rsidRPr="00E36C3A" w:rsidRDefault="008F61D1" w:rsidP="008F61D1">
      <w:pPr>
        <w:rPr>
          <w:sz w:val="12"/>
          <w:lang w:val="nl-BE"/>
        </w:rPr>
      </w:pPr>
    </w:p>
    <w:p w14:paraId="37D43385" w14:textId="77777777" w:rsidR="008F61D1" w:rsidRPr="00E36C3A" w:rsidRDefault="008F61D1" w:rsidP="000F19DF">
      <w:pPr>
        <w:pStyle w:val="Kop4"/>
        <w:numPr>
          <w:ilvl w:val="0"/>
          <w:numId w:val="14"/>
        </w:numPr>
        <w:spacing w:before="240"/>
        <w:rPr>
          <w:rFonts w:eastAsiaTheme="majorEastAsia" w:cs="Arial"/>
          <w:b w:val="0"/>
          <w:bCs w:val="0"/>
          <w:i/>
          <w:sz w:val="12"/>
          <w:szCs w:val="20"/>
          <w:u w:val="dotted"/>
          <w:lang w:val="nl-BE"/>
        </w:rPr>
      </w:pPr>
      <w:bookmarkStart w:id="150" w:name="_Toc466378842"/>
      <w:r w:rsidRPr="00E36C3A">
        <w:rPr>
          <w:rFonts w:eastAsiaTheme="majorEastAsia" w:cs="Arial"/>
          <w:b w:val="0"/>
          <w:bCs w:val="0"/>
          <w:i/>
          <w:sz w:val="12"/>
          <w:szCs w:val="20"/>
          <w:u w:val="dotted"/>
          <w:lang w:val="nl-BE"/>
        </w:rPr>
        <w:t>Lichamelijke schade en / of overlijden</w:t>
      </w:r>
      <w:bookmarkEnd w:id="150"/>
    </w:p>
    <w:p w14:paraId="62C942A4" w14:textId="77777777" w:rsidR="008F61D1" w:rsidRPr="00E36C3A" w:rsidRDefault="008F61D1" w:rsidP="008F61D1">
      <w:pPr>
        <w:rPr>
          <w:sz w:val="12"/>
          <w:lang w:val="nl-BE"/>
        </w:rPr>
      </w:pPr>
      <w:r w:rsidRPr="00E36C3A">
        <w:rPr>
          <w:sz w:val="12"/>
          <w:lang w:val="nl-BE"/>
        </w:rPr>
        <w:t>Ingeval van lichamelijke schade en/of overlijden is de DNB volledig aansprakelijk.</w:t>
      </w:r>
    </w:p>
    <w:p w14:paraId="5E0E78CD" w14:textId="77777777" w:rsidR="008F61D1" w:rsidRPr="00E36C3A" w:rsidRDefault="008F61D1" w:rsidP="000F19DF">
      <w:pPr>
        <w:pStyle w:val="Kop4"/>
        <w:numPr>
          <w:ilvl w:val="0"/>
          <w:numId w:val="14"/>
        </w:numPr>
        <w:spacing w:before="240"/>
        <w:rPr>
          <w:rFonts w:eastAsiaTheme="majorEastAsia" w:cs="Arial"/>
          <w:b w:val="0"/>
          <w:bCs w:val="0"/>
          <w:i/>
          <w:sz w:val="12"/>
          <w:szCs w:val="20"/>
          <w:u w:val="dotted"/>
          <w:lang w:val="nl-BE"/>
        </w:rPr>
      </w:pPr>
      <w:bookmarkStart w:id="151" w:name="_Toc466378843"/>
      <w:r w:rsidRPr="00E36C3A">
        <w:rPr>
          <w:rFonts w:eastAsiaTheme="majorEastAsia" w:cs="Arial"/>
          <w:b w:val="0"/>
          <w:bCs w:val="0"/>
          <w:i/>
          <w:sz w:val="12"/>
          <w:szCs w:val="20"/>
          <w:u w:val="dotted"/>
          <w:lang w:val="nl-BE"/>
        </w:rPr>
        <w:t>Rechtstreekse materiële schade</w:t>
      </w:r>
      <w:bookmarkEnd w:id="151"/>
    </w:p>
    <w:p w14:paraId="6C3D2789" w14:textId="77777777" w:rsidR="008F61D1" w:rsidRPr="00E36C3A" w:rsidRDefault="008F61D1" w:rsidP="008F61D1">
      <w:pPr>
        <w:rPr>
          <w:sz w:val="12"/>
          <w:lang w:val="nl-BE"/>
        </w:rPr>
      </w:pPr>
      <w:r w:rsidRPr="00E36C3A">
        <w:rPr>
          <w:sz w:val="12"/>
          <w:lang w:val="nl-BE"/>
        </w:rPr>
        <w:t xml:space="preserve">De DNB is aansprakelijk voor de door de DNG en andere netgebruikers geleden rechtstreekse, materiële schade. </w:t>
      </w:r>
    </w:p>
    <w:p w14:paraId="0122B586" w14:textId="77777777" w:rsidR="008F61D1" w:rsidRPr="00E36C3A" w:rsidRDefault="008F61D1" w:rsidP="008F61D1">
      <w:pPr>
        <w:rPr>
          <w:sz w:val="12"/>
          <w:lang w:val="nl-BE"/>
        </w:rPr>
      </w:pPr>
    </w:p>
    <w:p w14:paraId="2B9A87CF" w14:textId="77777777" w:rsidR="008F61D1" w:rsidRPr="00E36C3A" w:rsidRDefault="008F61D1" w:rsidP="008F61D1">
      <w:pPr>
        <w:rPr>
          <w:sz w:val="12"/>
          <w:lang w:val="nl-BE"/>
        </w:rPr>
      </w:pPr>
      <w:r w:rsidRPr="00E36C3A">
        <w:rPr>
          <w:sz w:val="12"/>
          <w:lang w:val="nl-BE"/>
        </w:rPr>
        <w:t xml:space="preserve">Onder rechtstreekse, materiële schade wordt begrepen: de schade die als rechtstreeks en onmiddellijk resultaat van de </w:t>
      </w:r>
      <w:proofErr w:type="spellStart"/>
      <w:r w:rsidRPr="00E36C3A">
        <w:rPr>
          <w:sz w:val="12"/>
          <w:lang w:val="nl-BE"/>
        </w:rPr>
        <w:t>schadeverwekkende</w:t>
      </w:r>
      <w:proofErr w:type="spellEnd"/>
      <w:r w:rsidRPr="00E36C3A">
        <w:rPr>
          <w:sz w:val="12"/>
          <w:lang w:val="nl-BE"/>
        </w:rPr>
        <w:t xml:space="preserve"> gebeurtenis wordt toegebracht aan een tastbare zaak van de DNG of een andere netgebruiker. </w:t>
      </w:r>
    </w:p>
    <w:p w14:paraId="6258D788" w14:textId="77777777" w:rsidR="008F61D1" w:rsidRPr="00E36C3A" w:rsidRDefault="008F61D1" w:rsidP="008F61D1">
      <w:pPr>
        <w:rPr>
          <w:sz w:val="12"/>
          <w:lang w:val="nl-BE"/>
        </w:rPr>
      </w:pPr>
      <w:r w:rsidRPr="00E36C3A">
        <w:rPr>
          <w:sz w:val="12"/>
          <w:lang w:val="nl-BE"/>
        </w:rPr>
        <w:t xml:space="preserve">Behoort hier niet toe: indirecte schade, zoals schade die voortvloeit uit bijzondere verbintenissen opgenomen door de aanvrager jegens derden (schadebedingen, forfaitaire boetes, “take or </w:t>
      </w:r>
      <w:proofErr w:type="spellStart"/>
      <w:r w:rsidRPr="00E36C3A">
        <w:rPr>
          <w:sz w:val="12"/>
          <w:lang w:val="nl-BE"/>
        </w:rPr>
        <w:t>pay</w:t>
      </w:r>
      <w:proofErr w:type="spellEnd"/>
      <w:r w:rsidRPr="00E36C3A">
        <w:rPr>
          <w:sz w:val="12"/>
          <w:lang w:val="nl-BE"/>
        </w:rPr>
        <w:t>” clausules, …), buitencontractuele (schade)vorderingen van derden, gederfde winst, verlies van omzet, verlies van gegevens, verlies van een kans, reputatieschade, morele schade, ...</w:t>
      </w:r>
    </w:p>
    <w:p w14:paraId="05515EC1" w14:textId="77777777" w:rsidR="008F61D1" w:rsidRPr="00E36C3A" w:rsidRDefault="008F61D1" w:rsidP="000F19DF">
      <w:pPr>
        <w:pStyle w:val="Kop4"/>
        <w:numPr>
          <w:ilvl w:val="0"/>
          <w:numId w:val="14"/>
        </w:numPr>
        <w:spacing w:before="240"/>
        <w:rPr>
          <w:rFonts w:eastAsiaTheme="majorEastAsia" w:cs="Arial"/>
          <w:b w:val="0"/>
          <w:bCs w:val="0"/>
          <w:i/>
          <w:sz w:val="12"/>
          <w:szCs w:val="20"/>
          <w:u w:val="dotted"/>
          <w:lang w:val="nl-BE"/>
        </w:rPr>
      </w:pPr>
      <w:bookmarkStart w:id="152" w:name="_Toc466378844"/>
      <w:r w:rsidRPr="00E36C3A">
        <w:rPr>
          <w:rFonts w:eastAsiaTheme="majorEastAsia" w:cs="Arial"/>
          <w:b w:val="0"/>
          <w:bCs w:val="0"/>
          <w:i/>
          <w:sz w:val="12"/>
          <w:szCs w:val="20"/>
          <w:u w:val="dotted"/>
          <w:lang w:val="nl-BE"/>
        </w:rPr>
        <w:t>Plafond</w:t>
      </w:r>
      <w:bookmarkEnd w:id="152"/>
    </w:p>
    <w:p w14:paraId="1DACC1EC" w14:textId="77777777" w:rsidR="008F61D1" w:rsidRPr="00E36C3A" w:rsidRDefault="008F61D1" w:rsidP="008F61D1">
      <w:pPr>
        <w:rPr>
          <w:sz w:val="12"/>
          <w:lang w:val="nl-BE"/>
        </w:rPr>
      </w:pPr>
      <w:r w:rsidRPr="00E36C3A">
        <w:rPr>
          <w:sz w:val="12"/>
          <w:lang w:val="nl-BE"/>
        </w:rPr>
        <w:t xml:space="preserve">De aansprakelijkheid van de DNB voor de rechtstreekse materiële schade die het gevolg is van een laattijdige (her-)aansluiting is in ieder geval beperkt tot een maximumbedrag van 12.500 euro indien het een Aansluiting met een Aansluitingscapaciteit  tot 650m³(n)/h betreft, dan wel 25.000 euro indien het een Aansluiting met een </w:t>
      </w:r>
      <w:proofErr w:type="spellStart"/>
      <w:r w:rsidRPr="00E36C3A">
        <w:rPr>
          <w:sz w:val="12"/>
          <w:lang w:val="nl-BE"/>
        </w:rPr>
        <w:t>Aansluitingscapaiteit</w:t>
      </w:r>
      <w:proofErr w:type="spellEnd"/>
      <w:r w:rsidRPr="00E36C3A">
        <w:rPr>
          <w:sz w:val="12"/>
          <w:lang w:val="nl-BE"/>
        </w:rPr>
        <w:t xml:space="preserve"> van 650m³(n)/h of hoger betreft.</w:t>
      </w:r>
    </w:p>
    <w:p w14:paraId="079829DE" w14:textId="77777777" w:rsidR="008F61D1" w:rsidRPr="00E36C3A" w:rsidRDefault="008F61D1" w:rsidP="000F19DF">
      <w:pPr>
        <w:pStyle w:val="Kop4"/>
        <w:numPr>
          <w:ilvl w:val="0"/>
          <w:numId w:val="14"/>
        </w:numPr>
        <w:spacing w:before="240"/>
        <w:rPr>
          <w:rFonts w:eastAsiaTheme="majorEastAsia" w:cs="Arial"/>
          <w:b w:val="0"/>
          <w:bCs w:val="0"/>
          <w:i/>
          <w:sz w:val="12"/>
          <w:szCs w:val="20"/>
          <w:u w:val="dotted"/>
          <w:lang w:val="nl-BE"/>
        </w:rPr>
      </w:pPr>
      <w:bookmarkStart w:id="153" w:name="_Toc466378845"/>
      <w:r w:rsidRPr="00E36C3A">
        <w:rPr>
          <w:rFonts w:eastAsiaTheme="majorEastAsia" w:cs="Arial"/>
          <w:b w:val="0"/>
          <w:bCs w:val="0"/>
          <w:i/>
          <w:sz w:val="12"/>
          <w:szCs w:val="20"/>
          <w:u w:val="dotted"/>
          <w:lang w:val="nl-BE"/>
        </w:rPr>
        <w:t xml:space="preserve">Andere schade - </w:t>
      </w:r>
      <w:proofErr w:type="spellStart"/>
      <w:r w:rsidRPr="00E36C3A">
        <w:rPr>
          <w:rFonts w:eastAsiaTheme="majorEastAsia" w:cs="Arial"/>
          <w:b w:val="0"/>
          <w:bCs w:val="0"/>
          <w:i/>
          <w:sz w:val="12"/>
          <w:szCs w:val="20"/>
          <w:u w:val="dotted"/>
          <w:lang w:val="nl-BE"/>
        </w:rPr>
        <w:t>exoneratie</w:t>
      </w:r>
      <w:bookmarkEnd w:id="153"/>
      <w:proofErr w:type="spellEnd"/>
    </w:p>
    <w:p w14:paraId="738AE6C9" w14:textId="77777777" w:rsidR="008F61D1" w:rsidRPr="00E36C3A" w:rsidRDefault="008F61D1" w:rsidP="008F61D1">
      <w:pPr>
        <w:rPr>
          <w:sz w:val="12"/>
          <w:lang w:val="nl-BE"/>
        </w:rPr>
      </w:pPr>
      <w:r w:rsidRPr="00E36C3A">
        <w:rPr>
          <w:sz w:val="12"/>
          <w:lang w:val="nl-BE"/>
        </w:rPr>
        <w:t>De DNB is niet aansprakelijk voor onrechtstreekse materiële schade, noch voor (rechtstreekse of onrechtstreekse) immateriële schade.</w:t>
      </w:r>
    </w:p>
    <w:p w14:paraId="32C4B59D" w14:textId="77777777" w:rsidR="008F61D1" w:rsidRPr="00E36C3A" w:rsidRDefault="008F61D1" w:rsidP="008F61D1">
      <w:pPr>
        <w:rPr>
          <w:sz w:val="12"/>
          <w:lang w:val="nl-BE"/>
        </w:rPr>
      </w:pPr>
    </w:p>
    <w:p w14:paraId="3F7826F8" w14:textId="77777777" w:rsidR="008F61D1" w:rsidRPr="00E36C3A" w:rsidRDefault="008F61D1" w:rsidP="001C0F03">
      <w:pPr>
        <w:pStyle w:val="Kop3"/>
      </w:pPr>
      <w:bookmarkStart w:id="154" w:name="_Toc466378846"/>
      <w:r w:rsidRPr="00E36C3A">
        <w:t>Decretale ongemakkenvergoedingsregeling</w:t>
      </w:r>
      <w:bookmarkEnd w:id="154"/>
    </w:p>
    <w:p w14:paraId="7F7BD740" w14:textId="77777777" w:rsidR="008F61D1" w:rsidRPr="00E36C3A" w:rsidRDefault="008F61D1" w:rsidP="008F61D1">
      <w:pPr>
        <w:rPr>
          <w:sz w:val="12"/>
          <w:lang w:val="nl-BE"/>
        </w:rPr>
      </w:pPr>
      <w:r w:rsidRPr="00E36C3A">
        <w:rPr>
          <w:sz w:val="12"/>
          <w:lang w:val="nl-BE"/>
        </w:rPr>
        <w:t xml:space="preserve">Mits voldaan is aan de voorwaarden daaromtrent bepaald in het Energiedecreet, en zonder afbreuk  te  doen aan hetgeen vermeld wordt onder Artikel </w:t>
      </w:r>
      <w:r w:rsidRPr="00E36C3A">
        <w:rPr>
          <w:sz w:val="12"/>
        </w:rPr>
        <w:fldChar w:fldCharType="begin"/>
      </w:r>
      <w:r w:rsidRPr="00E36C3A">
        <w:rPr>
          <w:sz w:val="12"/>
          <w:lang w:val="nl-BE"/>
        </w:rPr>
        <w:instrText xml:space="preserve"> REF _Ref460444422 \r  \* MERGEFORMAT </w:instrText>
      </w:r>
      <w:r w:rsidRPr="00E36C3A">
        <w:rPr>
          <w:sz w:val="12"/>
        </w:rPr>
        <w:fldChar w:fldCharType="separate"/>
      </w:r>
      <w:r w:rsidRPr="00E36C3A">
        <w:rPr>
          <w:sz w:val="12"/>
          <w:lang w:val="nl-BE"/>
        </w:rPr>
        <w:t>10.3.1</w:t>
      </w:r>
      <w:r w:rsidRPr="00E36C3A">
        <w:rPr>
          <w:sz w:val="12"/>
        </w:rPr>
        <w:fldChar w:fldCharType="end"/>
      </w:r>
      <w:r w:rsidRPr="00E36C3A">
        <w:rPr>
          <w:sz w:val="12"/>
          <w:lang w:val="nl-BE"/>
        </w:rPr>
        <w:t xml:space="preserve"> (foutaansprakelijkheid), heeft de DNG recht op een forfaitaire vergoeding op basis van de decretale ongemakkenvergoedingsregeling. Deze vergoeding wordt echter beperkt tot een maximumbedrag van 12.500 euro indien het een Aansluiting met een Aansluitingscapaciteit  tot 650m³(n)/h betreft, dan wel 25.000 euro indien het een Aansluiting met een </w:t>
      </w:r>
      <w:proofErr w:type="spellStart"/>
      <w:r w:rsidRPr="00E36C3A">
        <w:rPr>
          <w:sz w:val="12"/>
          <w:lang w:val="nl-BE"/>
        </w:rPr>
        <w:t>Aansluitingscapaiteit</w:t>
      </w:r>
      <w:proofErr w:type="spellEnd"/>
      <w:r w:rsidRPr="00E36C3A">
        <w:rPr>
          <w:sz w:val="12"/>
          <w:lang w:val="nl-BE"/>
        </w:rPr>
        <w:t xml:space="preserve"> van 650m³(n)/h of hoger betreft.</w:t>
      </w:r>
    </w:p>
    <w:p w14:paraId="4CFDA650" w14:textId="77777777" w:rsidR="008F61D1" w:rsidRPr="00E36C3A" w:rsidRDefault="008F61D1" w:rsidP="008F61D1">
      <w:pPr>
        <w:rPr>
          <w:sz w:val="12"/>
          <w:lang w:val="nl-BE"/>
        </w:rPr>
      </w:pPr>
    </w:p>
    <w:p w14:paraId="39E232D7" w14:textId="77777777" w:rsidR="008F61D1" w:rsidRPr="00E36C3A" w:rsidRDefault="008F61D1" w:rsidP="008F61D1">
      <w:pPr>
        <w:rPr>
          <w:sz w:val="12"/>
          <w:lang w:val="nl-BE"/>
        </w:rPr>
      </w:pPr>
    </w:p>
    <w:p w14:paraId="35C52B89" w14:textId="77777777" w:rsidR="008F61D1" w:rsidRPr="00E36C3A" w:rsidRDefault="008F61D1" w:rsidP="008F61D1">
      <w:pPr>
        <w:rPr>
          <w:sz w:val="12"/>
          <w:lang w:val="nl-BE"/>
        </w:rPr>
      </w:pPr>
      <w:r w:rsidRPr="00E36C3A">
        <w:rPr>
          <w:sz w:val="12"/>
          <w:lang w:val="nl-BE"/>
        </w:rPr>
        <w:t>Voor zoveel als nodig bevestigen Partijen dat een uitbetaling van een bedrag in het kader van de decretale vergoedingsregeling, onder geen enkel beding een erkenning inhoudt van fout of aansprakelijkheid van de DNB voor enige eventuele schade van de betrokken DNG of van andere netgebruikers.</w:t>
      </w:r>
    </w:p>
    <w:p w14:paraId="682400E8" w14:textId="77777777" w:rsidR="008F61D1" w:rsidRPr="00E36C3A" w:rsidRDefault="008F61D1" w:rsidP="008F61D1">
      <w:pPr>
        <w:rPr>
          <w:sz w:val="12"/>
          <w:lang w:val="nl-BE"/>
        </w:rPr>
      </w:pPr>
    </w:p>
    <w:p w14:paraId="4843B1D4" w14:textId="77777777" w:rsidR="008F61D1" w:rsidRPr="00E36C3A" w:rsidRDefault="008F61D1" w:rsidP="008F61D1">
      <w:pPr>
        <w:pStyle w:val="Kop2"/>
        <w:keepNext/>
        <w:keepLines/>
        <w:numPr>
          <w:ilvl w:val="1"/>
          <w:numId w:val="7"/>
        </w:numPr>
        <w:autoSpaceDE/>
        <w:autoSpaceDN/>
        <w:adjustRightInd/>
        <w:spacing w:before="200"/>
        <w:ind w:left="567" w:hanging="567"/>
        <w:jc w:val="both"/>
        <w:rPr>
          <w:rFonts w:eastAsiaTheme="majorEastAsia" w:cs="Arial"/>
          <w:sz w:val="14"/>
          <w:szCs w:val="22"/>
          <w:lang w:val="nl-BE"/>
        </w:rPr>
      </w:pPr>
      <w:bookmarkStart w:id="155" w:name="_Toc466378847"/>
      <w:r w:rsidRPr="00E36C3A">
        <w:rPr>
          <w:rFonts w:eastAsiaTheme="majorEastAsia" w:cs="Arial"/>
          <w:sz w:val="14"/>
          <w:szCs w:val="22"/>
          <w:lang w:val="nl-BE"/>
        </w:rPr>
        <w:t>Werkzaamheden aan de aansluiting</w:t>
      </w:r>
      <w:bookmarkEnd w:id="155"/>
    </w:p>
    <w:p w14:paraId="6809DAEB" w14:textId="77777777" w:rsidR="008F61D1" w:rsidRPr="00E36C3A" w:rsidRDefault="008F61D1" w:rsidP="008F61D1">
      <w:pPr>
        <w:rPr>
          <w:sz w:val="12"/>
          <w:lang w:val="nl-BE"/>
        </w:rPr>
      </w:pPr>
      <w:r w:rsidRPr="00E36C3A">
        <w:rPr>
          <w:sz w:val="12"/>
          <w:lang w:val="nl-BE"/>
        </w:rPr>
        <w:t xml:space="preserve">De DNB is ten opzichte van de DNG aansprakelijk voor de lichamelijke schade en de rechtstreekse materiële schade die hij door zijn fout veroorzaakt bij het uitvoeren van werkzaamheden. </w:t>
      </w:r>
    </w:p>
    <w:p w14:paraId="5D205F75" w14:textId="77777777" w:rsidR="008F61D1" w:rsidRPr="00E36C3A" w:rsidRDefault="008F61D1" w:rsidP="008F61D1">
      <w:pPr>
        <w:rPr>
          <w:sz w:val="12"/>
          <w:lang w:val="nl-BE"/>
        </w:rPr>
      </w:pPr>
    </w:p>
    <w:p w14:paraId="3DFAEF89" w14:textId="77777777" w:rsidR="008F61D1" w:rsidRPr="00E36C3A" w:rsidRDefault="008F61D1" w:rsidP="008F61D1">
      <w:pPr>
        <w:rPr>
          <w:sz w:val="12"/>
          <w:lang w:val="nl-BE"/>
        </w:rPr>
      </w:pPr>
      <w:r w:rsidRPr="00E36C3A">
        <w:rPr>
          <w:sz w:val="12"/>
          <w:lang w:val="nl-BE"/>
        </w:rPr>
        <w:t>De DNB is, behoudens bedrog of opzet, niet aansprakelijk voor onrechtstreekse materiële, of (rechtstreekse of onrechtstreekse) immateriële schade die hij veroorzaakt bij het uitvoeren van werkzaamheden.</w:t>
      </w:r>
    </w:p>
    <w:p w14:paraId="5EC4210D" w14:textId="77777777" w:rsidR="008F61D1" w:rsidRPr="00E36C3A" w:rsidRDefault="008F61D1" w:rsidP="008F61D1">
      <w:pPr>
        <w:rPr>
          <w:sz w:val="12"/>
          <w:lang w:val="nl-BE"/>
        </w:rPr>
      </w:pPr>
    </w:p>
    <w:p w14:paraId="2534D81A" w14:textId="77777777" w:rsidR="008F61D1" w:rsidRPr="00E36C3A" w:rsidRDefault="008F61D1" w:rsidP="008F61D1">
      <w:pPr>
        <w:pStyle w:val="Kop2"/>
        <w:keepNext/>
        <w:keepLines/>
        <w:numPr>
          <w:ilvl w:val="1"/>
          <w:numId w:val="7"/>
        </w:numPr>
        <w:autoSpaceDE/>
        <w:autoSpaceDN/>
        <w:adjustRightInd/>
        <w:spacing w:before="200"/>
        <w:ind w:left="567" w:hanging="567"/>
        <w:jc w:val="both"/>
        <w:rPr>
          <w:rFonts w:eastAsiaTheme="majorEastAsia" w:cs="Arial"/>
          <w:sz w:val="14"/>
          <w:szCs w:val="22"/>
          <w:lang w:val="nl-BE"/>
        </w:rPr>
      </w:pPr>
      <w:bookmarkStart w:id="156" w:name="_Toc466378848"/>
      <w:r w:rsidRPr="00E36C3A">
        <w:rPr>
          <w:rFonts w:eastAsiaTheme="majorEastAsia" w:cs="Arial"/>
          <w:sz w:val="14"/>
          <w:szCs w:val="22"/>
          <w:lang w:val="nl-BE"/>
        </w:rPr>
        <w:t>Kennisgeving van aanspraak op vergoeding</w:t>
      </w:r>
      <w:bookmarkEnd w:id="156"/>
    </w:p>
    <w:p w14:paraId="775311E4" w14:textId="77777777" w:rsidR="008F61D1" w:rsidRPr="00E36C3A" w:rsidRDefault="008F61D1" w:rsidP="001C0F03">
      <w:pPr>
        <w:pStyle w:val="Kop3"/>
      </w:pPr>
      <w:bookmarkStart w:id="157" w:name="_Toc466378849"/>
      <w:r w:rsidRPr="00E36C3A">
        <w:t>Schadevergoeding</w:t>
      </w:r>
      <w:bookmarkEnd w:id="157"/>
    </w:p>
    <w:p w14:paraId="48E25DBA" w14:textId="77777777" w:rsidR="008F61D1" w:rsidRPr="00E36C3A" w:rsidRDefault="008F61D1" w:rsidP="008F61D1">
      <w:pPr>
        <w:rPr>
          <w:sz w:val="12"/>
          <w:lang w:val="nl-BE"/>
        </w:rPr>
      </w:pPr>
      <w:r w:rsidRPr="00E36C3A">
        <w:rPr>
          <w:sz w:val="12"/>
          <w:lang w:val="nl-BE"/>
        </w:rPr>
        <w:t xml:space="preserve">Indien een Partij een vordering tot schadevergoeding wil indienen tegen de andere Partij, is deze gehouden de schade en de motivatie ervan bij middel van een aangetekende brief ter kennis te brengen aan de andere Partij, binnen de 90 kalenderdagen vanaf kennisname door de eerstgenoemde Partij van de schade en de identiteit van de daarvoor aansprakelijke persoon. </w:t>
      </w:r>
    </w:p>
    <w:p w14:paraId="2F3272D3" w14:textId="77777777" w:rsidR="008F61D1" w:rsidRPr="00E36C3A" w:rsidRDefault="008F61D1" w:rsidP="008F61D1">
      <w:pPr>
        <w:rPr>
          <w:sz w:val="12"/>
          <w:lang w:val="nl-BE"/>
        </w:rPr>
      </w:pPr>
    </w:p>
    <w:p w14:paraId="3D6BE2B7" w14:textId="77777777" w:rsidR="008F61D1" w:rsidRPr="00E36C3A" w:rsidRDefault="008F61D1" w:rsidP="008F61D1">
      <w:pPr>
        <w:rPr>
          <w:sz w:val="12"/>
          <w:lang w:val="nl-BE"/>
        </w:rPr>
      </w:pPr>
      <w:r w:rsidRPr="00E36C3A">
        <w:rPr>
          <w:sz w:val="12"/>
          <w:lang w:val="nl-BE"/>
        </w:rPr>
        <w:t>De DNB maakt een objectief verslag op van de feiten. Op eenvoudig verzoek wordt dit verslag toegestuurd aan de DNG. Indien de DNB op basis hiervan vaststelt dat de aansprakelijkheid van de DNB in het gedrang komt, verzoekt hij de DNG om een bewijs van geleden schade en een kostenraming te leveren. Op basis hiervan en rekening houdend met het bedrag van de eventuele schadevergoeding zal de DNB het dossier al dan niet overmaken aan zijn verzekeraar. De DNB of zijn verzekeraar informeert de DNG.</w:t>
      </w:r>
    </w:p>
    <w:p w14:paraId="6EE56D0E" w14:textId="77777777" w:rsidR="008F61D1" w:rsidRPr="00E36C3A" w:rsidRDefault="008F61D1" w:rsidP="008F61D1">
      <w:pPr>
        <w:rPr>
          <w:sz w:val="12"/>
          <w:lang w:val="nl-BE"/>
        </w:rPr>
      </w:pPr>
    </w:p>
    <w:p w14:paraId="7295A579" w14:textId="77777777" w:rsidR="008F61D1" w:rsidRPr="00E36C3A" w:rsidRDefault="008F61D1" w:rsidP="008F61D1">
      <w:pPr>
        <w:rPr>
          <w:sz w:val="12"/>
          <w:lang w:val="nl-BE"/>
        </w:rPr>
      </w:pPr>
      <w:r w:rsidRPr="00E36C3A">
        <w:rPr>
          <w:sz w:val="12"/>
          <w:lang w:val="nl-BE"/>
        </w:rPr>
        <w:t>Indien de DNB vaststelt dat de schade van de DNG werd veroorzaakt door een Marktpartij  (bijvoorbeeld de Toegangshouder/Leverancier, bevrachter,…) of door een andere netbeheerder, dan zal de DNB de DNG in het eerste geval doorverwijzen naar de Marktpartij, en in het laatste geval de zaak zelf afhandelen met de DNG.</w:t>
      </w:r>
    </w:p>
    <w:p w14:paraId="71FA08AB" w14:textId="77777777" w:rsidR="008F61D1" w:rsidRPr="00E36C3A" w:rsidRDefault="008F61D1" w:rsidP="008F61D1">
      <w:pPr>
        <w:rPr>
          <w:sz w:val="12"/>
          <w:lang w:val="nl-BE"/>
        </w:rPr>
      </w:pPr>
    </w:p>
    <w:p w14:paraId="202B6FC0" w14:textId="77777777" w:rsidR="008F61D1" w:rsidRPr="00E36C3A" w:rsidRDefault="008F61D1" w:rsidP="001C0F03">
      <w:pPr>
        <w:pStyle w:val="Kop3"/>
      </w:pPr>
      <w:bookmarkStart w:id="158" w:name="_Toc466378850"/>
      <w:r w:rsidRPr="00E36C3A">
        <w:t>Decretale ongemakkenvergoedingsregeling</w:t>
      </w:r>
      <w:bookmarkEnd w:id="158"/>
    </w:p>
    <w:p w14:paraId="3D6AD452" w14:textId="77777777" w:rsidR="008F61D1" w:rsidRPr="00E36C3A" w:rsidRDefault="008F61D1" w:rsidP="008F61D1">
      <w:pPr>
        <w:rPr>
          <w:sz w:val="12"/>
          <w:lang w:val="nl-BE"/>
        </w:rPr>
      </w:pPr>
      <w:r w:rsidRPr="00E36C3A">
        <w:rPr>
          <w:sz w:val="12"/>
          <w:lang w:val="nl-BE"/>
        </w:rPr>
        <w:t>Voor het aanvragen van de decretale ongemakkenvergoedingsregeling voor laattijdige aansluiting en laattijdige heraansluiting stelt de DNB een webformulier, via de website van de DNB, ter beschikking.</w:t>
      </w:r>
    </w:p>
    <w:p w14:paraId="466010C6" w14:textId="77777777" w:rsidR="008F61D1" w:rsidRPr="00E36C3A" w:rsidRDefault="008F61D1" w:rsidP="008F61D1">
      <w:pPr>
        <w:rPr>
          <w:b/>
          <w:sz w:val="12"/>
          <w:lang w:val="nl-NL"/>
        </w:rPr>
      </w:pPr>
      <w:bookmarkStart w:id="159" w:name="_Toc422305049"/>
      <w:bookmarkStart w:id="160" w:name="_Toc422305050"/>
      <w:bookmarkStart w:id="161" w:name="_Toc422305051"/>
      <w:bookmarkStart w:id="162" w:name="_Toc422305052"/>
      <w:bookmarkStart w:id="163" w:name="_Toc422305053"/>
      <w:bookmarkStart w:id="164" w:name="_Toc422305054"/>
      <w:bookmarkStart w:id="165" w:name="_Toc422305055"/>
      <w:bookmarkStart w:id="166" w:name="_Toc422305056"/>
      <w:bookmarkStart w:id="167" w:name="_Toc422305057"/>
      <w:bookmarkStart w:id="168" w:name="_Toc422305058"/>
      <w:bookmarkStart w:id="169" w:name="_Toc422305059"/>
      <w:bookmarkStart w:id="170" w:name="_Toc422305060"/>
      <w:bookmarkStart w:id="171" w:name="_Toc422305061"/>
      <w:bookmarkStart w:id="172" w:name="_Toc422305062"/>
      <w:bookmarkStart w:id="173" w:name="_Toc422305063"/>
      <w:bookmarkStart w:id="174" w:name="_Toc422305064"/>
      <w:bookmarkStart w:id="175" w:name="_Toc422144608"/>
      <w:bookmarkStart w:id="176" w:name="_Toc422305065"/>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6E70649A" w14:textId="77777777" w:rsidR="008F61D1" w:rsidRPr="00E36C3A" w:rsidRDefault="008F61D1" w:rsidP="008F61D1">
      <w:pPr>
        <w:pStyle w:val="Kop2"/>
        <w:keepNext/>
        <w:keepLines/>
        <w:numPr>
          <w:ilvl w:val="1"/>
          <w:numId w:val="7"/>
        </w:numPr>
        <w:autoSpaceDE/>
        <w:autoSpaceDN/>
        <w:adjustRightInd/>
        <w:spacing w:before="200"/>
        <w:ind w:left="567" w:hanging="567"/>
        <w:jc w:val="both"/>
        <w:rPr>
          <w:rFonts w:eastAsiaTheme="majorEastAsia" w:cs="Arial"/>
          <w:sz w:val="14"/>
          <w:szCs w:val="22"/>
          <w:lang w:val="nl-BE"/>
        </w:rPr>
      </w:pPr>
      <w:bookmarkStart w:id="177" w:name="_Toc422305089"/>
      <w:bookmarkStart w:id="178" w:name="_Toc422405304"/>
      <w:bookmarkStart w:id="179" w:name="_Toc425838697"/>
      <w:bookmarkStart w:id="180" w:name="_Toc466378851"/>
      <w:r w:rsidRPr="00E36C3A">
        <w:rPr>
          <w:rFonts w:eastAsiaTheme="majorEastAsia" w:cs="Arial"/>
          <w:sz w:val="14"/>
          <w:szCs w:val="22"/>
          <w:lang w:val="nl-BE"/>
        </w:rPr>
        <w:t>Verzekeringen</w:t>
      </w:r>
      <w:bookmarkEnd w:id="177"/>
      <w:bookmarkEnd w:id="178"/>
      <w:bookmarkEnd w:id="179"/>
      <w:bookmarkEnd w:id="180"/>
    </w:p>
    <w:p w14:paraId="68D05EA1" w14:textId="77777777" w:rsidR="008F61D1" w:rsidRPr="00E36C3A" w:rsidRDefault="008F61D1" w:rsidP="008F61D1">
      <w:pPr>
        <w:rPr>
          <w:sz w:val="12"/>
          <w:lang w:val="nl-BE"/>
        </w:rPr>
      </w:pPr>
      <w:bookmarkStart w:id="181" w:name="_Toc422144625"/>
      <w:bookmarkStart w:id="182" w:name="_Toc422305088"/>
      <w:bookmarkEnd w:id="181"/>
      <w:bookmarkEnd w:id="182"/>
      <w:r w:rsidRPr="00E36C3A">
        <w:rPr>
          <w:sz w:val="12"/>
          <w:lang w:val="nl-BE"/>
        </w:rPr>
        <w:t xml:space="preserve">De DNG verbindt zich ertoe de aansprakelijkheidsbeperkingen ter kennis te geven aan zijn verzekeraar, en voor al zijn risico’s in de nodige verzekeringen te voorzien. </w:t>
      </w:r>
    </w:p>
    <w:p w14:paraId="1CCB3BE7" w14:textId="77777777" w:rsidR="008F61D1" w:rsidRPr="00E36C3A" w:rsidRDefault="008F61D1" w:rsidP="008F61D1">
      <w:pPr>
        <w:rPr>
          <w:sz w:val="12"/>
          <w:lang w:val="nl-BE"/>
        </w:rPr>
      </w:pPr>
    </w:p>
    <w:p w14:paraId="3BC5D899" w14:textId="77777777" w:rsidR="008F61D1" w:rsidRPr="00E36C3A" w:rsidRDefault="008F61D1" w:rsidP="008F61D1">
      <w:pPr>
        <w:pStyle w:val="Kop2"/>
        <w:keepNext/>
        <w:keepLines/>
        <w:numPr>
          <w:ilvl w:val="1"/>
          <w:numId w:val="7"/>
        </w:numPr>
        <w:autoSpaceDE/>
        <w:autoSpaceDN/>
        <w:adjustRightInd/>
        <w:spacing w:before="200"/>
        <w:ind w:left="567" w:hanging="567"/>
        <w:jc w:val="both"/>
        <w:rPr>
          <w:rFonts w:eastAsiaTheme="majorEastAsia" w:cs="Arial"/>
          <w:sz w:val="14"/>
          <w:szCs w:val="22"/>
          <w:lang w:val="nl-BE"/>
        </w:rPr>
      </w:pPr>
      <w:bookmarkStart w:id="183" w:name="_Toc422305090"/>
      <w:bookmarkStart w:id="184" w:name="_Toc422405305"/>
      <w:bookmarkStart w:id="185" w:name="_Ref445196068"/>
      <w:bookmarkStart w:id="186" w:name="_Toc425838698"/>
      <w:bookmarkStart w:id="187" w:name="_Ref460444137"/>
      <w:bookmarkStart w:id="188" w:name="_Ref461098125"/>
      <w:bookmarkStart w:id="189" w:name="_Toc466378852"/>
      <w:r w:rsidRPr="00E36C3A">
        <w:rPr>
          <w:rFonts w:eastAsiaTheme="majorEastAsia" w:cs="Arial"/>
          <w:sz w:val="14"/>
          <w:szCs w:val="22"/>
          <w:lang w:val="nl-BE"/>
        </w:rPr>
        <w:lastRenderedPageBreak/>
        <w:t>Overmacht en noodsituatie</w:t>
      </w:r>
      <w:bookmarkEnd w:id="183"/>
      <w:bookmarkEnd w:id="184"/>
      <w:bookmarkEnd w:id="185"/>
      <w:bookmarkEnd w:id="186"/>
      <w:bookmarkEnd w:id="187"/>
      <w:bookmarkEnd w:id="188"/>
      <w:bookmarkEnd w:id="189"/>
    </w:p>
    <w:p w14:paraId="30132A98" w14:textId="77777777" w:rsidR="008F61D1" w:rsidRPr="00E36C3A" w:rsidRDefault="008F61D1" w:rsidP="001C0F03">
      <w:pPr>
        <w:pStyle w:val="Kop3"/>
      </w:pPr>
      <w:bookmarkStart w:id="190" w:name="_Toc422305091"/>
      <w:bookmarkStart w:id="191" w:name="_Toc422405306"/>
      <w:bookmarkStart w:id="192" w:name="_Toc425838699"/>
      <w:bookmarkStart w:id="193" w:name="_Toc466378853"/>
      <w:r w:rsidRPr="00E36C3A">
        <w:t>Overmacht</w:t>
      </w:r>
      <w:bookmarkEnd w:id="190"/>
      <w:bookmarkEnd w:id="191"/>
      <w:bookmarkEnd w:id="192"/>
      <w:bookmarkEnd w:id="193"/>
      <w:r w:rsidRPr="00E36C3A">
        <w:t xml:space="preserve"> </w:t>
      </w:r>
    </w:p>
    <w:p w14:paraId="6A55C7DB" w14:textId="77777777" w:rsidR="008F61D1" w:rsidRPr="00E36C3A" w:rsidRDefault="008F61D1" w:rsidP="008F61D1">
      <w:pPr>
        <w:rPr>
          <w:sz w:val="12"/>
        </w:rPr>
      </w:pPr>
      <w:r w:rsidRPr="00E36C3A">
        <w:rPr>
          <w:sz w:val="12"/>
          <w:lang w:val="nl-BE"/>
        </w:rPr>
        <w:t xml:space="preserve">In gevallen van overmacht zoals omschreven in het TRDG en in onderhavige algemene voorwaarden zal de DNB ingrijpen zoals voorzien in het TRDG. </w:t>
      </w:r>
      <w:r w:rsidRPr="00E36C3A">
        <w:rPr>
          <w:sz w:val="12"/>
        </w:rPr>
        <w:t xml:space="preserve">De </w:t>
      </w:r>
      <w:proofErr w:type="spellStart"/>
      <w:r w:rsidRPr="00E36C3A">
        <w:rPr>
          <w:sz w:val="12"/>
        </w:rPr>
        <w:t>opschorting</w:t>
      </w:r>
      <w:proofErr w:type="spellEnd"/>
      <w:r w:rsidRPr="00E36C3A">
        <w:rPr>
          <w:sz w:val="12"/>
        </w:rPr>
        <w:t xml:space="preserve"> van </w:t>
      </w:r>
      <w:proofErr w:type="spellStart"/>
      <w:r w:rsidRPr="00E36C3A">
        <w:rPr>
          <w:sz w:val="12"/>
        </w:rPr>
        <w:t>verplichtingen</w:t>
      </w:r>
      <w:proofErr w:type="spellEnd"/>
      <w:r w:rsidRPr="00E36C3A">
        <w:rPr>
          <w:sz w:val="12"/>
        </w:rPr>
        <w:t xml:space="preserve"> </w:t>
      </w:r>
      <w:proofErr w:type="spellStart"/>
      <w:r w:rsidRPr="00E36C3A">
        <w:rPr>
          <w:sz w:val="12"/>
        </w:rPr>
        <w:t>geschiedt</w:t>
      </w:r>
      <w:proofErr w:type="spellEnd"/>
      <w:r w:rsidRPr="00E36C3A">
        <w:rPr>
          <w:sz w:val="12"/>
        </w:rPr>
        <w:t xml:space="preserve"> conform het TRDG.</w:t>
      </w:r>
    </w:p>
    <w:p w14:paraId="77E11710" w14:textId="77777777" w:rsidR="008F61D1" w:rsidRPr="00E36C3A" w:rsidRDefault="008F61D1" w:rsidP="008F61D1">
      <w:pPr>
        <w:rPr>
          <w:sz w:val="12"/>
        </w:rPr>
      </w:pPr>
    </w:p>
    <w:p w14:paraId="113EC058" w14:textId="77777777" w:rsidR="008F61D1" w:rsidRPr="00E36C3A" w:rsidRDefault="008F61D1" w:rsidP="001C0F03">
      <w:pPr>
        <w:pStyle w:val="Kop3"/>
      </w:pPr>
      <w:bookmarkStart w:id="194" w:name="_Toc422305092"/>
      <w:bookmarkStart w:id="195" w:name="_Toc422405307"/>
      <w:bookmarkStart w:id="196" w:name="_Toc425838700"/>
      <w:bookmarkStart w:id="197" w:name="_Toc466378854"/>
      <w:r w:rsidRPr="00E36C3A">
        <w:t>Gevallen van noodsituatie</w:t>
      </w:r>
      <w:bookmarkEnd w:id="194"/>
      <w:bookmarkEnd w:id="195"/>
      <w:bookmarkEnd w:id="196"/>
      <w:bookmarkEnd w:id="197"/>
      <w:r w:rsidRPr="00E36C3A">
        <w:t xml:space="preserve"> </w:t>
      </w:r>
    </w:p>
    <w:p w14:paraId="2F65A971" w14:textId="77777777" w:rsidR="008F61D1" w:rsidRPr="00E36C3A" w:rsidRDefault="008F61D1" w:rsidP="008F61D1">
      <w:pPr>
        <w:rPr>
          <w:sz w:val="12"/>
          <w:lang w:val="nl-BE"/>
        </w:rPr>
      </w:pPr>
      <w:r w:rsidRPr="00E36C3A">
        <w:rPr>
          <w:sz w:val="12"/>
          <w:lang w:val="nl-BE"/>
        </w:rPr>
        <w:t xml:space="preserve">Om invulling te geven aan het begrip noodsituatie uit het TRDG wordt </w:t>
      </w:r>
      <w:proofErr w:type="spellStart"/>
      <w:r w:rsidRPr="00E36C3A">
        <w:rPr>
          <w:sz w:val="12"/>
          <w:lang w:val="nl-BE"/>
        </w:rPr>
        <w:t>ondermeer</w:t>
      </w:r>
      <w:proofErr w:type="spellEnd"/>
      <w:r w:rsidRPr="00E36C3A">
        <w:rPr>
          <w:sz w:val="12"/>
          <w:lang w:val="nl-BE"/>
        </w:rPr>
        <w:t xml:space="preserve"> als geval van noodsituatie beschouwd:</w:t>
      </w:r>
    </w:p>
    <w:p w14:paraId="6A2213BD" w14:textId="77777777" w:rsidR="008F61D1" w:rsidRPr="00E36C3A" w:rsidRDefault="008F61D1" w:rsidP="008F61D1">
      <w:pPr>
        <w:rPr>
          <w:sz w:val="12"/>
          <w:lang w:val="nl-BE"/>
        </w:rPr>
      </w:pPr>
    </w:p>
    <w:p w14:paraId="385C22A3" w14:textId="77777777" w:rsidR="008F61D1" w:rsidRPr="00E36C3A" w:rsidRDefault="008F61D1" w:rsidP="008F61D1">
      <w:pPr>
        <w:pStyle w:val="Lijstalinea"/>
        <w:numPr>
          <w:ilvl w:val="0"/>
          <w:numId w:val="6"/>
        </w:numPr>
        <w:adjustRightInd/>
        <w:contextualSpacing w:val="0"/>
        <w:rPr>
          <w:sz w:val="12"/>
          <w:lang w:val="nl-BE"/>
        </w:rPr>
      </w:pPr>
      <w:r w:rsidRPr="00E36C3A">
        <w:rPr>
          <w:sz w:val="12"/>
          <w:lang w:val="nl-BE"/>
        </w:rPr>
        <w:t>een al dan niet verklaarde staat van oorlog, een oorlogsdreiging, een invasie, een gewapend conflict, een blokkade;</w:t>
      </w:r>
    </w:p>
    <w:p w14:paraId="41A98D0C" w14:textId="77777777" w:rsidR="008F61D1" w:rsidRPr="00E36C3A" w:rsidRDefault="008F61D1" w:rsidP="008F61D1">
      <w:pPr>
        <w:pStyle w:val="Lijstalinea"/>
        <w:numPr>
          <w:ilvl w:val="0"/>
          <w:numId w:val="6"/>
        </w:numPr>
        <w:adjustRightInd/>
        <w:contextualSpacing w:val="0"/>
        <w:rPr>
          <w:sz w:val="12"/>
          <w:lang w:val="nl-BE"/>
        </w:rPr>
      </w:pPr>
      <w:r w:rsidRPr="00E36C3A">
        <w:rPr>
          <w:sz w:val="12"/>
          <w:lang w:val="nl-BE"/>
        </w:rPr>
        <w:t>een revolutie, een opstand, een oproer;</w:t>
      </w:r>
    </w:p>
    <w:p w14:paraId="2094EA4A" w14:textId="77777777" w:rsidR="008F61D1" w:rsidRPr="00E36C3A" w:rsidRDefault="008F61D1" w:rsidP="008F61D1">
      <w:pPr>
        <w:pStyle w:val="Lijstalinea"/>
        <w:numPr>
          <w:ilvl w:val="0"/>
          <w:numId w:val="6"/>
        </w:numPr>
        <w:adjustRightInd/>
        <w:contextualSpacing w:val="0"/>
        <w:rPr>
          <w:sz w:val="12"/>
          <w:lang w:val="nl-BE"/>
        </w:rPr>
      </w:pPr>
      <w:r w:rsidRPr="00E36C3A">
        <w:rPr>
          <w:sz w:val="12"/>
          <w:lang w:val="nl-BE"/>
        </w:rPr>
        <w:t>een radioactieve of chemische besmetting of ioniserende stralingen en de gevolgen ervan;</w:t>
      </w:r>
    </w:p>
    <w:p w14:paraId="0BECE610" w14:textId="77777777" w:rsidR="008F61D1" w:rsidRPr="00E36C3A" w:rsidRDefault="008F61D1" w:rsidP="008F61D1">
      <w:pPr>
        <w:pStyle w:val="Lijstalinea"/>
        <w:numPr>
          <w:ilvl w:val="0"/>
          <w:numId w:val="6"/>
        </w:numPr>
        <w:adjustRightInd/>
        <w:contextualSpacing w:val="0"/>
        <w:rPr>
          <w:sz w:val="12"/>
          <w:lang w:val="nl-BE"/>
        </w:rPr>
      </w:pPr>
      <w:r w:rsidRPr="00E36C3A">
        <w:rPr>
          <w:sz w:val="12"/>
          <w:lang w:val="nl-BE"/>
        </w:rPr>
        <w:t>wind, droogte en regens van ongewone intensiteit of duur, de ophoping van sneeuw of ijs;</w:t>
      </w:r>
    </w:p>
    <w:p w14:paraId="1A42AABD" w14:textId="77777777" w:rsidR="008F61D1" w:rsidRPr="00E36C3A" w:rsidRDefault="008F61D1" w:rsidP="008F61D1">
      <w:pPr>
        <w:pStyle w:val="Lijstalinea"/>
        <w:numPr>
          <w:ilvl w:val="0"/>
          <w:numId w:val="6"/>
        </w:numPr>
        <w:adjustRightInd/>
        <w:contextualSpacing w:val="0"/>
        <w:rPr>
          <w:sz w:val="12"/>
        </w:rPr>
      </w:pPr>
      <w:proofErr w:type="spellStart"/>
      <w:r w:rsidRPr="00E36C3A">
        <w:rPr>
          <w:sz w:val="12"/>
        </w:rPr>
        <w:t>stakingen</w:t>
      </w:r>
      <w:proofErr w:type="spellEnd"/>
      <w:r w:rsidRPr="00E36C3A">
        <w:rPr>
          <w:sz w:val="12"/>
        </w:rPr>
        <w:t xml:space="preserve">, lock-outs, walk-outs of elk </w:t>
      </w:r>
      <w:proofErr w:type="spellStart"/>
      <w:r w:rsidRPr="00E36C3A">
        <w:rPr>
          <w:sz w:val="12"/>
        </w:rPr>
        <w:t>ander</w:t>
      </w:r>
      <w:proofErr w:type="spellEnd"/>
      <w:r w:rsidRPr="00E36C3A">
        <w:rPr>
          <w:sz w:val="12"/>
        </w:rPr>
        <w:t xml:space="preserve"> </w:t>
      </w:r>
      <w:proofErr w:type="spellStart"/>
      <w:r w:rsidRPr="00E36C3A">
        <w:rPr>
          <w:sz w:val="12"/>
        </w:rPr>
        <w:t>arbeidsconflict</w:t>
      </w:r>
      <w:proofErr w:type="spellEnd"/>
      <w:r w:rsidRPr="00E36C3A">
        <w:rPr>
          <w:sz w:val="12"/>
        </w:rPr>
        <w:t>;</w:t>
      </w:r>
    </w:p>
    <w:p w14:paraId="0A9CCD9C" w14:textId="77777777" w:rsidR="008F61D1" w:rsidRPr="00E36C3A" w:rsidRDefault="008F61D1" w:rsidP="008F61D1">
      <w:pPr>
        <w:pStyle w:val="Lijstalinea"/>
        <w:numPr>
          <w:ilvl w:val="0"/>
          <w:numId w:val="6"/>
        </w:numPr>
        <w:adjustRightInd/>
        <w:contextualSpacing w:val="0"/>
        <w:rPr>
          <w:sz w:val="12"/>
          <w:lang w:val="nl-BE"/>
        </w:rPr>
      </w:pPr>
      <w:r w:rsidRPr="00E36C3A">
        <w:rPr>
          <w:sz w:val="12"/>
          <w:lang w:val="nl-BE"/>
        </w:rPr>
        <w:t xml:space="preserve">onvoorzienbare </w:t>
      </w:r>
      <w:proofErr w:type="spellStart"/>
      <w:r w:rsidRPr="00E36C3A">
        <w:rPr>
          <w:sz w:val="12"/>
          <w:lang w:val="nl-BE"/>
        </w:rPr>
        <w:t>onbeschikbaarheden</w:t>
      </w:r>
      <w:proofErr w:type="spellEnd"/>
      <w:r w:rsidRPr="00E36C3A">
        <w:rPr>
          <w:sz w:val="12"/>
          <w:lang w:val="nl-BE"/>
        </w:rPr>
        <w:t xml:space="preserve"> van de uitrustingen of installaties die eigendom zijn of onder het beheer staan van één van de betrokken Partijen voor zover deze gebeurtenissen niet konden vermeden worden door toepassing van de regels van de kunst;</w:t>
      </w:r>
    </w:p>
    <w:p w14:paraId="3C888EF2" w14:textId="77777777" w:rsidR="008F61D1" w:rsidRPr="00E36C3A" w:rsidRDefault="008F61D1" w:rsidP="008F61D1">
      <w:pPr>
        <w:pStyle w:val="Lijstalinea"/>
        <w:numPr>
          <w:ilvl w:val="0"/>
          <w:numId w:val="6"/>
        </w:numPr>
        <w:adjustRightInd/>
        <w:contextualSpacing w:val="0"/>
        <w:rPr>
          <w:sz w:val="12"/>
        </w:rPr>
      </w:pPr>
      <w:proofErr w:type="spellStart"/>
      <w:r w:rsidRPr="00E36C3A">
        <w:rPr>
          <w:sz w:val="12"/>
        </w:rPr>
        <w:t>ernstige</w:t>
      </w:r>
      <w:proofErr w:type="spellEnd"/>
      <w:r w:rsidRPr="00E36C3A">
        <w:rPr>
          <w:sz w:val="12"/>
        </w:rPr>
        <w:t xml:space="preserve"> </w:t>
      </w:r>
      <w:proofErr w:type="spellStart"/>
      <w:r w:rsidRPr="00E36C3A">
        <w:rPr>
          <w:sz w:val="12"/>
        </w:rPr>
        <w:t>ongevallen</w:t>
      </w:r>
      <w:proofErr w:type="spellEnd"/>
      <w:r w:rsidRPr="00E36C3A">
        <w:rPr>
          <w:sz w:val="12"/>
        </w:rPr>
        <w:t xml:space="preserve"> van personen;</w:t>
      </w:r>
    </w:p>
    <w:p w14:paraId="5DE0B95F" w14:textId="77777777" w:rsidR="008F61D1" w:rsidRPr="00E36C3A" w:rsidRDefault="008F61D1" w:rsidP="008F61D1">
      <w:pPr>
        <w:pStyle w:val="Lijstalinea"/>
        <w:numPr>
          <w:ilvl w:val="0"/>
          <w:numId w:val="6"/>
        </w:numPr>
        <w:adjustRightInd/>
        <w:contextualSpacing w:val="0"/>
        <w:rPr>
          <w:sz w:val="12"/>
          <w:lang w:val="nl-BE"/>
        </w:rPr>
      </w:pPr>
      <w:r w:rsidRPr="00E36C3A">
        <w:rPr>
          <w:sz w:val="12"/>
          <w:lang w:val="nl-BE"/>
        </w:rPr>
        <w:t xml:space="preserve">de onderbreking van de gaslevering aan bepaalde groepen afnemers, opgelegd door hogere wetgeving, bijvoorbeeld in gevallen van </w:t>
      </w:r>
      <w:proofErr w:type="spellStart"/>
      <w:r w:rsidRPr="00E36C3A">
        <w:rPr>
          <w:sz w:val="12"/>
          <w:lang w:val="nl-BE"/>
        </w:rPr>
        <w:t>gasschaarste</w:t>
      </w:r>
      <w:proofErr w:type="spellEnd"/>
      <w:r w:rsidRPr="00E36C3A">
        <w:rPr>
          <w:sz w:val="12"/>
          <w:lang w:val="nl-BE"/>
        </w:rPr>
        <w:t>.</w:t>
      </w:r>
    </w:p>
    <w:p w14:paraId="11345B17" w14:textId="77777777" w:rsidR="008F61D1" w:rsidRPr="00E36C3A" w:rsidRDefault="008F61D1" w:rsidP="008F61D1">
      <w:pPr>
        <w:rPr>
          <w:sz w:val="12"/>
          <w:lang w:val="nl-BE"/>
        </w:rPr>
      </w:pPr>
    </w:p>
    <w:p w14:paraId="20973236" w14:textId="77777777" w:rsidR="008F61D1" w:rsidRPr="00E36C3A" w:rsidRDefault="008F61D1" w:rsidP="008F61D1">
      <w:pPr>
        <w:rPr>
          <w:sz w:val="12"/>
          <w:lang w:val="nl-BE"/>
        </w:rPr>
      </w:pPr>
    </w:p>
    <w:p w14:paraId="636E0593" w14:textId="77777777" w:rsidR="008F61D1" w:rsidRPr="00E36C3A" w:rsidRDefault="008F61D1" w:rsidP="008F61D1">
      <w:pPr>
        <w:rPr>
          <w:i/>
          <w:iCs/>
          <w:sz w:val="12"/>
        </w:rPr>
      </w:pPr>
      <w:proofErr w:type="spellStart"/>
      <w:r w:rsidRPr="00E36C3A">
        <w:rPr>
          <w:sz w:val="12"/>
        </w:rPr>
        <w:t>Niettegenstaande</w:t>
      </w:r>
      <w:proofErr w:type="spellEnd"/>
      <w:r w:rsidRPr="00E36C3A">
        <w:rPr>
          <w:sz w:val="12"/>
        </w:rPr>
        <w:t xml:space="preserve"> wat </w:t>
      </w:r>
      <w:proofErr w:type="spellStart"/>
      <w:r w:rsidRPr="00E36C3A">
        <w:rPr>
          <w:sz w:val="12"/>
        </w:rPr>
        <w:t>voorafgaat</w:t>
      </w:r>
      <w:proofErr w:type="spellEnd"/>
      <w:r w:rsidRPr="00E36C3A">
        <w:rPr>
          <w:sz w:val="12"/>
        </w:rPr>
        <w:t>,</w:t>
      </w:r>
    </w:p>
    <w:p w14:paraId="0ED8CEF1" w14:textId="77777777" w:rsidR="008F61D1" w:rsidRPr="00E36C3A" w:rsidRDefault="008F61D1" w:rsidP="008F61D1">
      <w:pPr>
        <w:rPr>
          <w:sz w:val="12"/>
        </w:rPr>
      </w:pPr>
    </w:p>
    <w:p w14:paraId="2E87B4AA" w14:textId="77777777" w:rsidR="008F61D1" w:rsidRPr="00E36C3A" w:rsidRDefault="008F61D1" w:rsidP="008F61D1">
      <w:pPr>
        <w:pStyle w:val="Lijstalinea"/>
        <w:numPr>
          <w:ilvl w:val="0"/>
          <w:numId w:val="6"/>
        </w:numPr>
        <w:adjustRightInd/>
        <w:contextualSpacing w:val="0"/>
        <w:rPr>
          <w:sz w:val="12"/>
          <w:lang w:val="nl-BE"/>
        </w:rPr>
      </w:pPr>
      <w:r w:rsidRPr="00E36C3A">
        <w:rPr>
          <w:sz w:val="12"/>
          <w:lang w:val="nl-BE"/>
        </w:rPr>
        <w:t>brengt, zodra dit redelijkerwijze mogelijk is, de in gebreke blijvende betrokken Partij de andere betrokken Partijen op de hoogte over de redenen voor de niet-uitvoering van haar verplichting en de verwachte duur van de overmacht of noodsituatie;</w:t>
      </w:r>
    </w:p>
    <w:p w14:paraId="272AB1AE" w14:textId="77777777" w:rsidR="008F61D1" w:rsidRPr="00E36C3A" w:rsidRDefault="008F61D1" w:rsidP="008F61D1">
      <w:pPr>
        <w:pStyle w:val="Lijstalinea"/>
        <w:numPr>
          <w:ilvl w:val="0"/>
          <w:numId w:val="6"/>
        </w:numPr>
        <w:adjustRightInd/>
        <w:contextualSpacing w:val="0"/>
        <w:rPr>
          <w:sz w:val="12"/>
          <w:lang w:val="nl-BE"/>
        </w:rPr>
      </w:pPr>
      <w:r w:rsidRPr="00E36C3A">
        <w:rPr>
          <w:sz w:val="12"/>
          <w:lang w:val="nl-BE"/>
        </w:rPr>
        <w:t>levert de in gebreke blijvende betrokken Partij alle redelijke inspanningen om zo snel mogelijk een einde te maken aan de onmogelijkheid om haar verplichtingen uit te voeren;</w:t>
      </w:r>
    </w:p>
    <w:p w14:paraId="2BEF2479" w14:textId="77777777" w:rsidR="008F61D1" w:rsidRPr="00E36C3A" w:rsidRDefault="008F61D1" w:rsidP="008F61D1">
      <w:pPr>
        <w:pStyle w:val="Lijstalinea"/>
        <w:numPr>
          <w:ilvl w:val="0"/>
          <w:numId w:val="6"/>
        </w:numPr>
        <w:adjustRightInd/>
        <w:contextualSpacing w:val="0"/>
        <w:rPr>
          <w:sz w:val="12"/>
          <w:lang w:val="nl-BE"/>
        </w:rPr>
      </w:pPr>
      <w:r w:rsidRPr="00E36C3A">
        <w:rPr>
          <w:sz w:val="12"/>
          <w:lang w:val="nl-BE"/>
        </w:rPr>
        <w:t xml:space="preserve">wordt desgevallend gehandeld overeenkomstig de bepalingen van </w:t>
      </w:r>
      <w:r w:rsidRPr="00E36C3A">
        <w:rPr>
          <w:sz w:val="12"/>
        </w:rPr>
        <w:fldChar w:fldCharType="begin"/>
      </w:r>
      <w:r w:rsidRPr="00E36C3A">
        <w:rPr>
          <w:sz w:val="12"/>
          <w:lang w:val="nl-BE"/>
        </w:rPr>
        <w:instrText xml:space="preserve"> REF _Ref422405529 \r  \* MERGEFORMAT </w:instrText>
      </w:r>
      <w:r w:rsidRPr="00E36C3A">
        <w:rPr>
          <w:sz w:val="12"/>
        </w:rPr>
        <w:fldChar w:fldCharType="separate"/>
      </w:r>
      <w:r w:rsidRPr="00E36C3A">
        <w:rPr>
          <w:sz w:val="12"/>
          <w:lang w:val="nl-BE"/>
        </w:rPr>
        <w:t>Artikel 9</w:t>
      </w:r>
      <w:r w:rsidRPr="00E36C3A">
        <w:rPr>
          <w:sz w:val="12"/>
        </w:rPr>
        <w:fldChar w:fldCharType="end"/>
      </w:r>
      <w:r w:rsidRPr="00E36C3A">
        <w:rPr>
          <w:sz w:val="12"/>
          <w:lang w:val="nl-BE"/>
        </w:rPr>
        <w:t xml:space="preserve"> – onvoorziene omstandigheden.</w:t>
      </w:r>
    </w:p>
    <w:p w14:paraId="1056FBA5" w14:textId="77777777" w:rsidR="008F61D1" w:rsidRPr="00E36C3A" w:rsidRDefault="008F61D1" w:rsidP="008F61D1">
      <w:pPr>
        <w:rPr>
          <w:sz w:val="12"/>
          <w:lang w:val="nl-BE"/>
        </w:rPr>
      </w:pPr>
    </w:p>
    <w:p w14:paraId="74009991" w14:textId="77777777" w:rsidR="008F61D1" w:rsidRPr="00E36C3A" w:rsidRDefault="008F61D1" w:rsidP="008F61D1">
      <w:pPr>
        <w:pStyle w:val="Kop1"/>
        <w:keepLines/>
        <w:numPr>
          <w:ilvl w:val="0"/>
          <w:numId w:val="7"/>
        </w:numPr>
        <w:shd w:val="clear" w:color="auto" w:fill="D9D9D9" w:themeFill="background1" w:themeFillShade="D9"/>
        <w:autoSpaceDE/>
        <w:autoSpaceDN/>
        <w:adjustRightInd/>
        <w:spacing w:before="480" w:after="240"/>
        <w:ind w:left="1418" w:hanging="1418"/>
        <w:jc w:val="both"/>
        <w:rPr>
          <w:rFonts w:eastAsiaTheme="majorEastAsia" w:cs="Arial"/>
          <w:b/>
          <w:bCs/>
          <w:i w:val="0"/>
          <w:iCs w:val="0"/>
          <w:sz w:val="16"/>
          <w:szCs w:val="24"/>
          <w:lang w:val="nl-BE"/>
        </w:rPr>
      </w:pPr>
      <w:bookmarkStart w:id="198" w:name="_Toc422305093"/>
      <w:bookmarkStart w:id="199" w:name="_Toc422405308"/>
      <w:bookmarkStart w:id="200" w:name="_Toc425838701"/>
      <w:bookmarkStart w:id="201" w:name="_Toc466378855"/>
      <w:r w:rsidRPr="00E36C3A">
        <w:rPr>
          <w:rFonts w:eastAsiaTheme="majorEastAsia" w:cs="Arial"/>
          <w:b/>
          <w:bCs/>
          <w:i w:val="0"/>
          <w:iCs w:val="0"/>
          <w:sz w:val="16"/>
          <w:szCs w:val="24"/>
          <w:lang w:val="nl-BE"/>
        </w:rPr>
        <w:t>Overdracht en faillissement</w:t>
      </w:r>
      <w:bookmarkEnd w:id="198"/>
      <w:bookmarkEnd w:id="199"/>
      <w:bookmarkEnd w:id="200"/>
      <w:bookmarkEnd w:id="201"/>
    </w:p>
    <w:p w14:paraId="56104B75" w14:textId="77777777" w:rsidR="008F61D1" w:rsidRPr="00E36C3A" w:rsidRDefault="008F61D1" w:rsidP="008F61D1">
      <w:pPr>
        <w:pStyle w:val="Kop2"/>
        <w:keepNext/>
        <w:keepLines/>
        <w:numPr>
          <w:ilvl w:val="1"/>
          <w:numId w:val="7"/>
        </w:numPr>
        <w:autoSpaceDE/>
        <w:autoSpaceDN/>
        <w:adjustRightInd/>
        <w:spacing w:before="200"/>
        <w:ind w:left="567" w:hanging="567"/>
        <w:jc w:val="both"/>
        <w:rPr>
          <w:rFonts w:eastAsiaTheme="majorEastAsia" w:cs="Arial"/>
          <w:sz w:val="14"/>
          <w:szCs w:val="22"/>
          <w:lang w:val="nl-BE"/>
        </w:rPr>
      </w:pPr>
      <w:bookmarkStart w:id="202" w:name="_Toc422305094"/>
      <w:bookmarkStart w:id="203" w:name="_Toc422405309"/>
      <w:bookmarkStart w:id="204" w:name="_Toc425838702"/>
      <w:bookmarkStart w:id="205" w:name="_Toc466378856"/>
      <w:r w:rsidRPr="00E36C3A">
        <w:rPr>
          <w:rFonts w:eastAsiaTheme="majorEastAsia" w:cs="Arial"/>
          <w:sz w:val="14"/>
          <w:szCs w:val="22"/>
          <w:lang w:val="nl-BE"/>
        </w:rPr>
        <w:t>Overdracht</w:t>
      </w:r>
      <w:bookmarkEnd w:id="202"/>
      <w:bookmarkEnd w:id="203"/>
      <w:bookmarkEnd w:id="204"/>
      <w:bookmarkEnd w:id="205"/>
    </w:p>
    <w:p w14:paraId="4A2BA40A" w14:textId="77777777" w:rsidR="008F61D1" w:rsidRPr="00E36C3A" w:rsidRDefault="008F61D1" w:rsidP="008F61D1">
      <w:pPr>
        <w:rPr>
          <w:sz w:val="12"/>
          <w:lang w:val="nl-BE"/>
        </w:rPr>
      </w:pPr>
      <w:r w:rsidRPr="00E36C3A">
        <w:rPr>
          <w:sz w:val="12"/>
          <w:lang w:val="nl-BE"/>
        </w:rPr>
        <w:t xml:space="preserve">De DNB kan het Aansluitingscontract overdragen aan een verbonden onderneming die door de VREG is aangewezen als distributienetbeheerder in het werkingsgebied waar zich de Aansluiting bevindt. </w:t>
      </w:r>
    </w:p>
    <w:p w14:paraId="0740F9FD" w14:textId="77777777" w:rsidR="008F61D1" w:rsidRPr="00E36C3A" w:rsidRDefault="008F61D1" w:rsidP="008F61D1">
      <w:pPr>
        <w:rPr>
          <w:sz w:val="12"/>
          <w:lang w:val="nl-BE"/>
        </w:rPr>
      </w:pPr>
    </w:p>
    <w:p w14:paraId="62C31708" w14:textId="77777777" w:rsidR="008F61D1" w:rsidRPr="00E36C3A" w:rsidRDefault="008F61D1" w:rsidP="008F61D1">
      <w:pPr>
        <w:rPr>
          <w:sz w:val="12"/>
          <w:lang w:val="nl-BE"/>
        </w:rPr>
      </w:pPr>
      <w:r w:rsidRPr="00E36C3A">
        <w:rPr>
          <w:sz w:val="12"/>
          <w:lang w:val="nl-BE"/>
        </w:rPr>
        <w:t>Overdracht van het Aansluitingscontract door de DNG aan een derde – andere dan een verbonden onderneming – is enkel mogelijk na goedkeuring door de DNB en op voorwaarde dat deze derde zich ertoe verbindt de verbintenissen van dit contract te zullen naleven. Bij overdracht aan een derde zal bij voorkeur een nieuw aansluitingscontract worden opgesteld tussen DNB en DNG, of wordt een bijvoegsel aan het overgedragen contract opgemaakt.</w:t>
      </w:r>
    </w:p>
    <w:p w14:paraId="7157699E" w14:textId="77777777" w:rsidR="008F61D1" w:rsidRPr="00E36C3A" w:rsidRDefault="008F61D1" w:rsidP="008F61D1">
      <w:pPr>
        <w:rPr>
          <w:sz w:val="12"/>
          <w:lang w:val="nl-BE"/>
        </w:rPr>
      </w:pPr>
    </w:p>
    <w:p w14:paraId="417BB8D3" w14:textId="3CD8E437" w:rsidR="008F61D1" w:rsidRPr="00E36C3A" w:rsidRDefault="008F61D1" w:rsidP="008F61D1">
      <w:pPr>
        <w:rPr>
          <w:sz w:val="12"/>
          <w:lang w:val="nl-BE"/>
        </w:rPr>
      </w:pPr>
      <w:r w:rsidRPr="00E36C3A">
        <w:rPr>
          <w:sz w:val="12"/>
          <w:lang w:val="nl-BE"/>
        </w:rPr>
        <w:t xml:space="preserve">Indien de DNG zijn installaties op één of andere wijze, tijdelijk of definitief, geheel of gedeeltelijk, overdraagt, verhuurt of ter beschikking stelt aan een derde, zal hij het nodige doen om dit Aansluitingscontract door deze derde te doen eerbiedigen conform </w:t>
      </w:r>
      <w:r w:rsidRPr="00E36C3A">
        <w:rPr>
          <w:sz w:val="12"/>
        </w:rPr>
        <w:fldChar w:fldCharType="begin"/>
      </w:r>
      <w:r w:rsidRPr="00E36C3A">
        <w:rPr>
          <w:sz w:val="12"/>
          <w:lang w:val="nl-BE"/>
        </w:rPr>
        <w:instrText xml:space="preserve"> REF _Ref423521439 \r \h </w:instrText>
      </w:r>
      <w:r w:rsidR="00E36C3A" w:rsidRPr="00E36C3A">
        <w:rPr>
          <w:sz w:val="12"/>
          <w:lang w:val="nl-BE"/>
        </w:rPr>
        <w:instrText xml:space="preserve"> \* MERGEFORMAT </w:instrText>
      </w:r>
      <w:r w:rsidRPr="00E36C3A">
        <w:rPr>
          <w:sz w:val="12"/>
        </w:rPr>
      </w:r>
      <w:r w:rsidRPr="00E36C3A">
        <w:rPr>
          <w:sz w:val="12"/>
        </w:rPr>
        <w:fldChar w:fldCharType="separate"/>
      </w:r>
      <w:r w:rsidRPr="00E36C3A">
        <w:rPr>
          <w:sz w:val="12"/>
          <w:lang w:val="nl-BE"/>
        </w:rPr>
        <w:t>Artikel 3</w:t>
      </w:r>
      <w:r w:rsidRPr="00E36C3A">
        <w:rPr>
          <w:sz w:val="12"/>
        </w:rPr>
        <w:fldChar w:fldCharType="end"/>
      </w:r>
      <w:r w:rsidRPr="00E36C3A">
        <w:rPr>
          <w:sz w:val="12"/>
          <w:lang w:val="nl-BE"/>
        </w:rPr>
        <w:t xml:space="preserve"> van deze algemene voorwaarden.</w:t>
      </w:r>
    </w:p>
    <w:p w14:paraId="426E5C2E" w14:textId="77777777" w:rsidR="008F61D1" w:rsidRPr="00E36C3A" w:rsidRDefault="008F61D1" w:rsidP="008F61D1">
      <w:pPr>
        <w:rPr>
          <w:sz w:val="12"/>
          <w:lang w:val="nl-BE"/>
        </w:rPr>
      </w:pPr>
      <w:r w:rsidRPr="00E36C3A">
        <w:rPr>
          <w:sz w:val="12"/>
          <w:lang w:val="nl-BE"/>
        </w:rPr>
        <w:t xml:space="preserve"> </w:t>
      </w:r>
    </w:p>
    <w:p w14:paraId="1ED32F46" w14:textId="77777777" w:rsidR="008F61D1" w:rsidRPr="00E36C3A" w:rsidRDefault="008F61D1" w:rsidP="008F61D1">
      <w:pPr>
        <w:rPr>
          <w:sz w:val="12"/>
          <w:lang w:val="nl-BE"/>
        </w:rPr>
      </w:pPr>
      <w:r w:rsidRPr="00E36C3A">
        <w:rPr>
          <w:sz w:val="12"/>
          <w:lang w:val="nl-BE"/>
        </w:rPr>
        <w:t>Indien deze derde partij zelf een Aansluitingscontract met de DNB ondertekent kan dit aanleiding geven tot een wijziging of beëindiging van het oorspronkelijke Aansluitingscontract met de DNB.</w:t>
      </w:r>
    </w:p>
    <w:p w14:paraId="26C94CC0" w14:textId="77777777" w:rsidR="008F61D1" w:rsidRPr="00E36C3A" w:rsidRDefault="008F61D1" w:rsidP="008F61D1">
      <w:pPr>
        <w:rPr>
          <w:sz w:val="12"/>
          <w:lang w:val="nl-BE"/>
        </w:rPr>
      </w:pPr>
    </w:p>
    <w:p w14:paraId="13921DB2" w14:textId="77777777" w:rsidR="008F61D1" w:rsidRPr="00E36C3A" w:rsidRDefault="008F61D1" w:rsidP="008F61D1">
      <w:pPr>
        <w:rPr>
          <w:sz w:val="12"/>
          <w:lang w:val="nl-BE"/>
        </w:rPr>
      </w:pPr>
      <w:r w:rsidRPr="00E36C3A">
        <w:rPr>
          <w:sz w:val="12"/>
          <w:lang w:val="nl-BE"/>
        </w:rPr>
        <w:t>Indien geen overdracht plaatsvindt zal de DNB indien nodig alle nodige stappen ondernemen om de overdracht afdwingbaar te maken ten opzichte van de oude en de nieuwe DNG.</w:t>
      </w:r>
    </w:p>
    <w:p w14:paraId="6789F520" w14:textId="77777777" w:rsidR="008F61D1" w:rsidRPr="00E36C3A" w:rsidRDefault="008F61D1" w:rsidP="008F61D1">
      <w:pPr>
        <w:rPr>
          <w:sz w:val="12"/>
          <w:lang w:val="nl-BE"/>
        </w:rPr>
      </w:pPr>
    </w:p>
    <w:p w14:paraId="328DC70F" w14:textId="77777777" w:rsidR="008F61D1" w:rsidRPr="00E36C3A" w:rsidRDefault="008F61D1" w:rsidP="008F61D1">
      <w:pPr>
        <w:pStyle w:val="Kop2"/>
        <w:keepNext/>
        <w:keepLines/>
        <w:numPr>
          <w:ilvl w:val="1"/>
          <w:numId w:val="7"/>
        </w:numPr>
        <w:autoSpaceDE/>
        <w:autoSpaceDN/>
        <w:adjustRightInd/>
        <w:spacing w:before="200"/>
        <w:ind w:left="567" w:hanging="567"/>
        <w:jc w:val="both"/>
        <w:rPr>
          <w:rFonts w:eastAsiaTheme="majorEastAsia" w:cs="Arial"/>
          <w:sz w:val="14"/>
          <w:szCs w:val="22"/>
          <w:lang w:val="nl-BE"/>
        </w:rPr>
      </w:pPr>
      <w:bookmarkStart w:id="206" w:name="_Toc466378857"/>
      <w:r w:rsidRPr="00E36C3A">
        <w:rPr>
          <w:rFonts w:eastAsiaTheme="majorEastAsia" w:cs="Arial"/>
          <w:sz w:val="14"/>
          <w:szCs w:val="22"/>
          <w:lang w:val="nl-BE"/>
        </w:rPr>
        <w:t>Faillissement</w:t>
      </w:r>
      <w:bookmarkEnd w:id="206"/>
    </w:p>
    <w:p w14:paraId="041A5CA6" w14:textId="77777777" w:rsidR="008F61D1" w:rsidRPr="00E36C3A" w:rsidRDefault="008F61D1" w:rsidP="008F61D1">
      <w:pPr>
        <w:rPr>
          <w:sz w:val="12"/>
          <w:lang w:val="nl-BE"/>
        </w:rPr>
      </w:pPr>
      <w:r w:rsidRPr="00E36C3A">
        <w:rPr>
          <w:sz w:val="12"/>
          <w:lang w:val="nl-BE"/>
        </w:rPr>
        <w:t>Faillissement van één der Partijen stelt van rechtswege een einde aan het Aansluitingscontract. De op dat ogenblik door de gefailleerde Partij verschuldigde bedragen worden onmiddellijk opeisbaar.</w:t>
      </w:r>
    </w:p>
    <w:p w14:paraId="026109C0" w14:textId="77777777" w:rsidR="008F61D1" w:rsidRPr="00E36C3A" w:rsidRDefault="008F61D1" w:rsidP="008F61D1">
      <w:pPr>
        <w:rPr>
          <w:sz w:val="12"/>
          <w:lang w:val="nl-BE"/>
        </w:rPr>
      </w:pPr>
    </w:p>
    <w:p w14:paraId="5FBFBC20" w14:textId="77777777" w:rsidR="008F61D1" w:rsidRPr="00E36C3A" w:rsidRDefault="008F61D1" w:rsidP="008F61D1">
      <w:pPr>
        <w:rPr>
          <w:sz w:val="12"/>
          <w:lang w:val="nl-BE"/>
        </w:rPr>
      </w:pPr>
      <w:r w:rsidRPr="00E36C3A">
        <w:rPr>
          <w:sz w:val="12"/>
          <w:lang w:val="nl-BE"/>
        </w:rPr>
        <w:t>Op diens eenvoudig verzoek zal de betrokken curator vermeld worden als DNG in het toegangsregister van de DNB.</w:t>
      </w:r>
    </w:p>
    <w:p w14:paraId="59A10C5D" w14:textId="77777777" w:rsidR="008F61D1" w:rsidRPr="00E36C3A" w:rsidRDefault="008F61D1" w:rsidP="008F61D1">
      <w:pPr>
        <w:rPr>
          <w:sz w:val="12"/>
          <w:lang w:val="nl-BE"/>
        </w:rPr>
      </w:pPr>
    </w:p>
    <w:p w14:paraId="12643C7B" w14:textId="77777777" w:rsidR="008F61D1" w:rsidRPr="00E36C3A" w:rsidRDefault="008F61D1" w:rsidP="008F61D1">
      <w:pPr>
        <w:pStyle w:val="Kop1"/>
        <w:keepLines/>
        <w:numPr>
          <w:ilvl w:val="0"/>
          <w:numId w:val="7"/>
        </w:numPr>
        <w:shd w:val="clear" w:color="auto" w:fill="D9D9D9" w:themeFill="background1" w:themeFillShade="D9"/>
        <w:autoSpaceDE/>
        <w:autoSpaceDN/>
        <w:adjustRightInd/>
        <w:spacing w:before="480" w:after="240"/>
        <w:ind w:left="1418" w:hanging="1418"/>
        <w:jc w:val="both"/>
        <w:rPr>
          <w:rFonts w:eastAsiaTheme="majorEastAsia" w:cs="Arial"/>
          <w:b/>
          <w:bCs/>
          <w:i w:val="0"/>
          <w:iCs w:val="0"/>
          <w:sz w:val="16"/>
          <w:szCs w:val="24"/>
          <w:lang w:val="nl-BE"/>
        </w:rPr>
      </w:pPr>
      <w:bookmarkStart w:id="207" w:name="_Toc422305096"/>
      <w:bookmarkStart w:id="208" w:name="_Toc422405311"/>
      <w:bookmarkStart w:id="209" w:name="_Toc425838704"/>
      <w:bookmarkStart w:id="210" w:name="_Toc466378858"/>
      <w:r w:rsidRPr="00E36C3A">
        <w:rPr>
          <w:rFonts w:eastAsiaTheme="majorEastAsia" w:cs="Arial"/>
          <w:b/>
          <w:bCs/>
          <w:i w:val="0"/>
          <w:iCs w:val="0"/>
          <w:sz w:val="16"/>
          <w:szCs w:val="24"/>
          <w:lang w:val="nl-BE"/>
        </w:rPr>
        <w:t>Betalingsmodaliteiten</w:t>
      </w:r>
      <w:bookmarkStart w:id="211" w:name="_Toc422305097"/>
      <w:bookmarkEnd w:id="207"/>
      <w:bookmarkEnd w:id="208"/>
      <w:bookmarkEnd w:id="209"/>
      <w:bookmarkEnd w:id="210"/>
    </w:p>
    <w:p w14:paraId="2A70F55B" w14:textId="77777777" w:rsidR="008F61D1" w:rsidRPr="00E36C3A" w:rsidRDefault="008F61D1" w:rsidP="008F61D1">
      <w:pPr>
        <w:pStyle w:val="Kop2"/>
        <w:keepNext/>
        <w:keepLines/>
        <w:numPr>
          <w:ilvl w:val="1"/>
          <w:numId w:val="7"/>
        </w:numPr>
        <w:autoSpaceDE/>
        <w:autoSpaceDN/>
        <w:adjustRightInd/>
        <w:spacing w:before="200"/>
        <w:ind w:left="567" w:hanging="567"/>
        <w:jc w:val="both"/>
        <w:rPr>
          <w:rFonts w:eastAsiaTheme="majorEastAsia" w:cs="Arial"/>
          <w:sz w:val="14"/>
          <w:szCs w:val="22"/>
          <w:lang w:val="nl-BE"/>
        </w:rPr>
      </w:pPr>
      <w:bookmarkStart w:id="212" w:name="_Toc422405312"/>
      <w:bookmarkStart w:id="213" w:name="_Toc425838705"/>
      <w:bookmarkStart w:id="214" w:name="_Toc466378859"/>
      <w:r w:rsidRPr="00E36C3A">
        <w:rPr>
          <w:rFonts w:eastAsiaTheme="majorEastAsia" w:cs="Arial"/>
          <w:sz w:val="14"/>
          <w:szCs w:val="22"/>
          <w:lang w:val="nl-BE"/>
        </w:rPr>
        <w:t>Niet-periodieke Tarieven</w:t>
      </w:r>
      <w:bookmarkEnd w:id="211"/>
      <w:bookmarkEnd w:id="212"/>
      <w:bookmarkEnd w:id="213"/>
      <w:bookmarkEnd w:id="214"/>
      <w:r w:rsidRPr="00E36C3A">
        <w:rPr>
          <w:rFonts w:eastAsiaTheme="majorEastAsia" w:cs="Arial"/>
          <w:sz w:val="14"/>
          <w:szCs w:val="22"/>
          <w:lang w:val="nl-BE"/>
        </w:rPr>
        <w:t xml:space="preserve"> </w:t>
      </w:r>
    </w:p>
    <w:p w14:paraId="4A816027" w14:textId="77777777" w:rsidR="008F61D1" w:rsidRPr="00E36C3A" w:rsidRDefault="008F61D1" w:rsidP="008F61D1">
      <w:pPr>
        <w:rPr>
          <w:rFonts w:cs="Arial"/>
          <w:sz w:val="12"/>
          <w:lang w:val="nl-BE"/>
        </w:rPr>
      </w:pPr>
      <w:r w:rsidRPr="00E36C3A">
        <w:rPr>
          <w:rFonts w:cs="Arial"/>
          <w:sz w:val="12"/>
          <w:lang w:val="nl-BE"/>
        </w:rPr>
        <w:t xml:space="preserve">Een niet-periodiek Tarief wordt eenmalig aangerekend en is van toepassing op prestaties met eenmalig karakter. Dit Tarief wordt rechtstreeks (niet via de Toegangshouder via de energiefactuur) aan de DNG aangerekend. </w:t>
      </w:r>
    </w:p>
    <w:p w14:paraId="60528591" w14:textId="77777777" w:rsidR="008F61D1" w:rsidRPr="00E36C3A" w:rsidRDefault="008F61D1" w:rsidP="008F61D1">
      <w:pPr>
        <w:rPr>
          <w:rFonts w:cs="Arial"/>
          <w:sz w:val="12"/>
          <w:lang w:val="nl-BE"/>
        </w:rPr>
      </w:pPr>
    </w:p>
    <w:p w14:paraId="58DAFDDE" w14:textId="77777777" w:rsidR="008F61D1" w:rsidRPr="00E36C3A" w:rsidRDefault="008F61D1" w:rsidP="008F61D1">
      <w:pPr>
        <w:rPr>
          <w:rFonts w:cs="Arial"/>
          <w:sz w:val="12"/>
          <w:lang w:val="nl-BE"/>
        </w:rPr>
      </w:pPr>
      <w:r w:rsidRPr="00E36C3A">
        <w:rPr>
          <w:rFonts w:cs="Arial"/>
          <w:sz w:val="12"/>
          <w:lang w:val="nl-BE"/>
        </w:rPr>
        <w:t xml:space="preserve">Prestaties met eenmalig karakter zijn onderhevig aan een niet-periodiek Tarief. Afhankelijk van de soort prestaties kunnen volgende niet-periodieke Tarieven van toepassing zijn: </w:t>
      </w:r>
    </w:p>
    <w:p w14:paraId="644A0098" w14:textId="77777777" w:rsidR="008F61D1" w:rsidRPr="00E36C3A" w:rsidRDefault="008F61D1" w:rsidP="008F61D1">
      <w:pPr>
        <w:pStyle w:val="Lijstalinea"/>
        <w:numPr>
          <w:ilvl w:val="0"/>
          <w:numId w:val="6"/>
        </w:numPr>
        <w:adjustRightInd/>
        <w:contextualSpacing w:val="0"/>
        <w:rPr>
          <w:sz w:val="12"/>
        </w:rPr>
      </w:pPr>
      <w:proofErr w:type="spellStart"/>
      <w:r w:rsidRPr="00E36C3A">
        <w:rPr>
          <w:sz w:val="12"/>
        </w:rPr>
        <w:t>studiekosten</w:t>
      </w:r>
      <w:proofErr w:type="spellEnd"/>
    </w:p>
    <w:p w14:paraId="0605A3FC" w14:textId="77777777" w:rsidR="008F61D1" w:rsidRPr="00E36C3A" w:rsidRDefault="008F61D1" w:rsidP="008F61D1">
      <w:pPr>
        <w:pStyle w:val="Lijstalinea"/>
        <w:numPr>
          <w:ilvl w:val="0"/>
          <w:numId w:val="6"/>
        </w:numPr>
        <w:adjustRightInd/>
        <w:contextualSpacing w:val="0"/>
        <w:rPr>
          <w:sz w:val="12"/>
        </w:rPr>
      </w:pPr>
      <w:proofErr w:type="spellStart"/>
      <w:r w:rsidRPr="00E36C3A">
        <w:rPr>
          <w:sz w:val="12"/>
        </w:rPr>
        <w:t>uitbreiding</w:t>
      </w:r>
      <w:proofErr w:type="spellEnd"/>
      <w:r w:rsidRPr="00E36C3A">
        <w:rPr>
          <w:sz w:val="12"/>
        </w:rPr>
        <w:t xml:space="preserve"> van het </w:t>
      </w:r>
      <w:proofErr w:type="spellStart"/>
      <w:r w:rsidRPr="00E36C3A">
        <w:rPr>
          <w:sz w:val="12"/>
        </w:rPr>
        <w:t>distributienet</w:t>
      </w:r>
      <w:proofErr w:type="spellEnd"/>
    </w:p>
    <w:p w14:paraId="2170A914" w14:textId="77777777" w:rsidR="008F61D1" w:rsidRPr="00E36C3A" w:rsidRDefault="008F61D1" w:rsidP="008F61D1">
      <w:pPr>
        <w:pStyle w:val="Lijstalinea"/>
        <w:numPr>
          <w:ilvl w:val="0"/>
          <w:numId w:val="6"/>
        </w:numPr>
        <w:adjustRightInd/>
        <w:contextualSpacing w:val="0"/>
        <w:rPr>
          <w:sz w:val="12"/>
        </w:rPr>
      </w:pPr>
      <w:proofErr w:type="spellStart"/>
      <w:r w:rsidRPr="00E36C3A">
        <w:rPr>
          <w:sz w:val="12"/>
        </w:rPr>
        <w:t>aansluiting</w:t>
      </w:r>
      <w:proofErr w:type="spellEnd"/>
      <w:r w:rsidRPr="00E36C3A">
        <w:rPr>
          <w:sz w:val="12"/>
        </w:rPr>
        <w:t xml:space="preserve"> en </w:t>
      </w:r>
      <w:proofErr w:type="spellStart"/>
      <w:r w:rsidRPr="00E36C3A">
        <w:rPr>
          <w:sz w:val="12"/>
        </w:rPr>
        <w:t>meetinstallatie</w:t>
      </w:r>
      <w:proofErr w:type="spellEnd"/>
    </w:p>
    <w:p w14:paraId="7A133662" w14:textId="77777777" w:rsidR="008F61D1" w:rsidRPr="00E36C3A" w:rsidRDefault="008F61D1" w:rsidP="008F61D1">
      <w:pPr>
        <w:pStyle w:val="Lijstalinea"/>
        <w:numPr>
          <w:ilvl w:val="0"/>
          <w:numId w:val="6"/>
        </w:numPr>
        <w:adjustRightInd/>
        <w:contextualSpacing w:val="0"/>
        <w:rPr>
          <w:sz w:val="12"/>
        </w:rPr>
      </w:pPr>
      <w:proofErr w:type="spellStart"/>
      <w:r w:rsidRPr="00E36C3A">
        <w:rPr>
          <w:sz w:val="12"/>
        </w:rPr>
        <w:t>diversen</w:t>
      </w:r>
      <w:proofErr w:type="spellEnd"/>
    </w:p>
    <w:p w14:paraId="4E1A50CD" w14:textId="77777777" w:rsidR="008F61D1" w:rsidRPr="00E36C3A" w:rsidRDefault="008F61D1" w:rsidP="008F61D1">
      <w:pPr>
        <w:rPr>
          <w:rFonts w:cs="Arial"/>
          <w:sz w:val="12"/>
        </w:rPr>
      </w:pPr>
    </w:p>
    <w:p w14:paraId="629AA468" w14:textId="77777777" w:rsidR="008F61D1" w:rsidRPr="00E36C3A" w:rsidRDefault="008F61D1" w:rsidP="008F61D1">
      <w:pPr>
        <w:rPr>
          <w:rFonts w:cs="Arial"/>
          <w:sz w:val="12"/>
          <w:lang w:val="nl-BE"/>
        </w:rPr>
      </w:pPr>
      <w:r w:rsidRPr="00E36C3A">
        <w:rPr>
          <w:rFonts w:cs="Arial"/>
          <w:sz w:val="12"/>
          <w:lang w:val="nl-BE"/>
        </w:rPr>
        <w:t xml:space="preserve">Deze tarieven kunnen van toepassing zijn voor het plaatsen, activeren, uitbreiden, wijzigen, vervangen, verplaatsen, deactiveren en wegnemen van een Aansluiting. </w:t>
      </w:r>
    </w:p>
    <w:p w14:paraId="61A2251D" w14:textId="77777777" w:rsidR="008F61D1" w:rsidRPr="00E36C3A" w:rsidRDefault="008F61D1" w:rsidP="008F61D1">
      <w:pPr>
        <w:rPr>
          <w:rFonts w:cs="Arial"/>
          <w:sz w:val="12"/>
          <w:lang w:val="nl-BE"/>
        </w:rPr>
      </w:pPr>
      <w:r w:rsidRPr="00E36C3A">
        <w:rPr>
          <w:rFonts w:cs="Arial"/>
          <w:sz w:val="12"/>
          <w:lang w:val="nl-BE"/>
        </w:rPr>
        <w:t>De DNB behoudt zich het recht voor een gehele of gedeeltelijke betaling te eisen alvorens over te gaan tot de daadwerkelijke uitvoering van de werken.</w:t>
      </w:r>
    </w:p>
    <w:p w14:paraId="2476A2A0" w14:textId="77777777" w:rsidR="008F61D1" w:rsidRPr="00E36C3A" w:rsidRDefault="008F61D1" w:rsidP="008F61D1">
      <w:pPr>
        <w:rPr>
          <w:rFonts w:cs="Arial"/>
          <w:sz w:val="12"/>
          <w:lang w:val="nl-NL"/>
        </w:rPr>
      </w:pPr>
    </w:p>
    <w:p w14:paraId="7649ACD6" w14:textId="77777777" w:rsidR="008F61D1" w:rsidRPr="00E36C3A" w:rsidRDefault="008F61D1" w:rsidP="008F61D1">
      <w:pPr>
        <w:pStyle w:val="Kop2"/>
        <w:keepNext/>
        <w:keepLines/>
        <w:numPr>
          <w:ilvl w:val="1"/>
          <w:numId w:val="7"/>
        </w:numPr>
        <w:autoSpaceDE/>
        <w:autoSpaceDN/>
        <w:adjustRightInd/>
        <w:spacing w:before="200"/>
        <w:ind w:left="567" w:hanging="567"/>
        <w:jc w:val="both"/>
        <w:rPr>
          <w:rFonts w:eastAsiaTheme="majorEastAsia" w:cs="Arial"/>
          <w:sz w:val="14"/>
          <w:szCs w:val="22"/>
          <w:lang w:val="nl-BE"/>
        </w:rPr>
      </w:pPr>
      <w:bookmarkStart w:id="215" w:name="_Toc422305098"/>
      <w:bookmarkStart w:id="216" w:name="_Toc422405313"/>
      <w:bookmarkStart w:id="217" w:name="_Toc425838706"/>
      <w:bookmarkStart w:id="218" w:name="_Toc466378860"/>
      <w:r w:rsidRPr="00E36C3A">
        <w:rPr>
          <w:rFonts w:eastAsiaTheme="majorEastAsia" w:cs="Arial"/>
          <w:sz w:val="14"/>
          <w:szCs w:val="22"/>
          <w:lang w:val="nl-BE"/>
        </w:rPr>
        <w:t>Periodieke Tarieven</w:t>
      </w:r>
      <w:bookmarkEnd w:id="215"/>
      <w:bookmarkEnd w:id="216"/>
      <w:bookmarkEnd w:id="217"/>
      <w:bookmarkEnd w:id="218"/>
      <w:r w:rsidRPr="00E36C3A">
        <w:rPr>
          <w:rFonts w:eastAsiaTheme="majorEastAsia" w:cs="Arial"/>
          <w:sz w:val="14"/>
          <w:szCs w:val="22"/>
          <w:lang w:val="nl-BE"/>
        </w:rPr>
        <w:t xml:space="preserve"> </w:t>
      </w:r>
    </w:p>
    <w:p w14:paraId="03789059" w14:textId="77777777" w:rsidR="008F61D1" w:rsidRPr="00E36C3A" w:rsidRDefault="008F61D1" w:rsidP="008F61D1">
      <w:pPr>
        <w:rPr>
          <w:sz w:val="12"/>
          <w:lang w:val="nl-BE"/>
        </w:rPr>
      </w:pPr>
      <w:r w:rsidRPr="00E36C3A">
        <w:rPr>
          <w:sz w:val="12"/>
          <w:lang w:val="nl-BE"/>
        </w:rPr>
        <w:t xml:space="preserve">Periodieke Tarieven worden periodiek aangerekend aan de DNG door de Toegangshouder via de energiefactuur. </w:t>
      </w:r>
    </w:p>
    <w:p w14:paraId="43464A86" w14:textId="77777777" w:rsidR="008F61D1" w:rsidRPr="00E36C3A" w:rsidRDefault="008F61D1" w:rsidP="008F61D1">
      <w:pPr>
        <w:rPr>
          <w:rFonts w:ascii="Times New Roman" w:hAnsi="Times New Roman"/>
          <w:color w:val="000000"/>
          <w:sz w:val="12"/>
          <w:lang w:val="nl-BE"/>
        </w:rPr>
      </w:pPr>
      <w:bookmarkStart w:id="219" w:name="_Toc425838707"/>
    </w:p>
    <w:p w14:paraId="7AA5C640" w14:textId="77777777" w:rsidR="008F61D1" w:rsidRPr="00E36C3A" w:rsidRDefault="008F61D1" w:rsidP="008F61D1">
      <w:pPr>
        <w:pStyle w:val="Kop2"/>
        <w:keepNext/>
        <w:keepLines/>
        <w:numPr>
          <w:ilvl w:val="1"/>
          <w:numId w:val="7"/>
        </w:numPr>
        <w:autoSpaceDE/>
        <w:autoSpaceDN/>
        <w:adjustRightInd/>
        <w:spacing w:before="200"/>
        <w:ind w:left="567" w:hanging="567"/>
        <w:jc w:val="both"/>
        <w:rPr>
          <w:rFonts w:eastAsiaTheme="majorEastAsia" w:cs="Arial"/>
          <w:sz w:val="14"/>
          <w:szCs w:val="22"/>
          <w:lang w:val="nl-BE"/>
        </w:rPr>
      </w:pPr>
      <w:bookmarkStart w:id="220" w:name="_Toc422305099"/>
      <w:bookmarkStart w:id="221" w:name="_Toc422405314"/>
      <w:bookmarkStart w:id="222" w:name="_Toc466378861"/>
      <w:r w:rsidRPr="00E36C3A">
        <w:rPr>
          <w:rFonts w:eastAsiaTheme="majorEastAsia" w:cs="Arial"/>
          <w:sz w:val="14"/>
          <w:szCs w:val="22"/>
          <w:lang w:val="nl-BE"/>
        </w:rPr>
        <w:t>Geldend voor alle Tarieven</w:t>
      </w:r>
      <w:bookmarkEnd w:id="219"/>
      <w:bookmarkEnd w:id="220"/>
      <w:bookmarkEnd w:id="221"/>
      <w:bookmarkEnd w:id="222"/>
      <w:r w:rsidRPr="00E36C3A">
        <w:rPr>
          <w:rFonts w:eastAsiaTheme="majorEastAsia" w:cs="Arial"/>
          <w:sz w:val="14"/>
          <w:szCs w:val="22"/>
          <w:lang w:val="nl-BE"/>
        </w:rPr>
        <w:t xml:space="preserve"> </w:t>
      </w:r>
    </w:p>
    <w:p w14:paraId="44B381B5" w14:textId="77777777" w:rsidR="008F61D1" w:rsidRPr="00E36C3A" w:rsidRDefault="008F61D1" w:rsidP="008F61D1">
      <w:pPr>
        <w:rPr>
          <w:rFonts w:cs="Arial"/>
          <w:sz w:val="12"/>
          <w:lang w:val="nl-BE"/>
        </w:rPr>
      </w:pPr>
      <w:r w:rsidRPr="00E36C3A">
        <w:rPr>
          <w:rFonts w:cs="Arial"/>
          <w:sz w:val="12"/>
          <w:lang w:val="nl-BE"/>
        </w:rPr>
        <w:t xml:space="preserve">De Tarieven zijn van toepassing na de goedkeuring van de bevoegde regulator en zijn </w:t>
      </w:r>
      <w:proofErr w:type="spellStart"/>
      <w:r w:rsidRPr="00E36C3A">
        <w:rPr>
          <w:rFonts w:cs="Arial"/>
          <w:sz w:val="12"/>
          <w:lang w:val="nl-BE"/>
        </w:rPr>
        <w:t>consulteerbaar</w:t>
      </w:r>
      <w:proofErr w:type="spellEnd"/>
      <w:r w:rsidRPr="00E36C3A">
        <w:rPr>
          <w:rFonts w:cs="Arial"/>
          <w:sz w:val="12"/>
          <w:lang w:val="nl-BE"/>
        </w:rPr>
        <w:t xml:space="preserve"> via de website van de DNB. </w:t>
      </w:r>
    </w:p>
    <w:p w14:paraId="3583CB5B" w14:textId="77777777" w:rsidR="008F61D1" w:rsidRPr="00E36C3A" w:rsidRDefault="008F61D1" w:rsidP="008F61D1">
      <w:pPr>
        <w:rPr>
          <w:rFonts w:cs="Arial"/>
          <w:sz w:val="12"/>
          <w:lang w:val="nl-BE"/>
        </w:rPr>
      </w:pPr>
    </w:p>
    <w:p w14:paraId="1C1D2A4B" w14:textId="77777777" w:rsidR="008F61D1" w:rsidRPr="00E36C3A" w:rsidRDefault="008F61D1" w:rsidP="008F61D1">
      <w:pPr>
        <w:rPr>
          <w:rFonts w:cs="Arial"/>
          <w:sz w:val="12"/>
          <w:lang w:val="nl-BE"/>
        </w:rPr>
      </w:pPr>
      <w:r w:rsidRPr="00E36C3A">
        <w:rPr>
          <w:rFonts w:cs="Arial"/>
          <w:sz w:val="12"/>
          <w:lang w:val="nl-BE"/>
        </w:rPr>
        <w:t>De belasting op de toegevoegde waarde (btw) is niet inbegrepen in de tarieven. Deze belasting komt bovenop het Tarief en is volledig ten laste van de DNG.</w:t>
      </w:r>
    </w:p>
    <w:p w14:paraId="25EC369F" w14:textId="77777777" w:rsidR="008F61D1" w:rsidRPr="00E36C3A" w:rsidRDefault="008F61D1" w:rsidP="008F61D1">
      <w:pPr>
        <w:rPr>
          <w:rFonts w:cs="Arial"/>
          <w:sz w:val="12"/>
          <w:lang w:val="nl-BE"/>
        </w:rPr>
      </w:pPr>
    </w:p>
    <w:p w14:paraId="71F82E27" w14:textId="77777777" w:rsidR="008F61D1" w:rsidRPr="00E36C3A" w:rsidRDefault="008F61D1" w:rsidP="008F61D1">
      <w:pPr>
        <w:rPr>
          <w:rFonts w:cs="Arial"/>
          <w:sz w:val="12"/>
          <w:lang w:val="nl-BE"/>
        </w:rPr>
      </w:pPr>
      <w:r w:rsidRPr="00E36C3A">
        <w:rPr>
          <w:rFonts w:cs="Arial"/>
          <w:sz w:val="12"/>
          <w:lang w:val="nl-BE"/>
        </w:rPr>
        <w:t xml:space="preserve">De DNB kan een bepaald Tarief of klantensegmentatie stopzetten. In voorkomend geval zullen nieuwe, door de regulator goedgekeurde, tarieven van toepassing zijn. De DNG zal hierover via de website van de DNB en/of via aanvullende kanalen geïnformeerd worden. In geval de DNG een keuze krijgt tussen verschillende nieuwe tariefopties zal het uitblijven van een bepaalde keuze, of het vaststellen dat een bepaalde keuze voordeliger zou geweest zijn, geen aanleiding geven tot retroactieve aanpassing van de tariefkeuze. </w:t>
      </w:r>
    </w:p>
    <w:p w14:paraId="590F7771" w14:textId="77777777" w:rsidR="008F61D1" w:rsidRPr="00E36C3A" w:rsidRDefault="008F61D1" w:rsidP="008F61D1">
      <w:pPr>
        <w:rPr>
          <w:rFonts w:cs="Arial"/>
          <w:sz w:val="12"/>
          <w:lang w:val="nl-BE"/>
        </w:rPr>
      </w:pPr>
    </w:p>
    <w:p w14:paraId="41660BD5" w14:textId="77777777" w:rsidR="008F61D1" w:rsidRPr="00E36C3A" w:rsidRDefault="008F61D1" w:rsidP="008F61D1">
      <w:pPr>
        <w:rPr>
          <w:rFonts w:cs="Arial"/>
          <w:sz w:val="12"/>
          <w:lang w:val="nl-BE"/>
        </w:rPr>
      </w:pPr>
      <w:r w:rsidRPr="00E36C3A">
        <w:rPr>
          <w:rFonts w:cs="Arial"/>
          <w:sz w:val="12"/>
          <w:lang w:val="nl-BE"/>
        </w:rPr>
        <w:t xml:space="preserve">Enkel de DNB heeft het recht de Meetinrichting aan te passen bij veranderende tariefmodaliteiten. Kosten die gemaakt worden naar aanleiding van een aanpassing van de Meetinrichting op vraag van de DNG of zijn gemandateerde Toegangshouder zijn ten laste van de DNG. </w:t>
      </w:r>
    </w:p>
    <w:p w14:paraId="02E0C5CC" w14:textId="77777777" w:rsidR="008F61D1" w:rsidRPr="00E36C3A" w:rsidRDefault="008F61D1" w:rsidP="008F61D1">
      <w:pPr>
        <w:rPr>
          <w:rFonts w:cs="Arial"/>
          <w:sz w:val="12"/>
          <w:lang w:val="nl-BE"/>
        </w:rPr>
      </w:pPr>
    </w:p>
    <w:p w14:paraId="0410C74E" w14:textId="77777777" w:rsidR="008F61D1" w:rsidRPr="00E36C3A" w:rsidRDefault="008F61D1" w:rsidP="008F61D1">
      <w:pPr>
        <w:pStyle w:val="Kop2"/>
        <w:keepNext/>
        <w:keepLines/>
        <w:numPr>
          <w:ilvl w:val="1"/>
          <w:numId w:val="7"/>
        </w:numPr>
        <w:autoSpaceDE/>
        <w:autoSpaceDN/>
        <w:adjustRightInd/>
        <w:spacing w:before="200"/>
        <w:ind w:left="567" w:hanging="567"/>
        <w:jc w:val="both"/>
        <w:rPr>
          <w:rFonts w:eastAsiaTheme="majorEastAsia" w:cs="Arial"/>
          <w:sz w:val="14"/>
          <w:szCs w:val="22"/>
          <w:lang w:val="nl-BE"/>
        </w:rPr>
      </w:pPr>
      <w:bookmarkStart w:id="223" w:name="_Toc422305100"/>
      <w:bookmarkStart w:id="224" w:name="_Toc422405315"/>
      <w:bookmarkStart w:id="225" w:name="_Toc425838708"/>
      <w:bookmarkStart w:id="226" w:name="_Toc466378862"/>
      <w:r w:rsidRPr="00E36C3A">
        <w:rPr>
          <w:rFonts w:eastAsiaTheme="majorEastAsia" w:cs="Arial"/>
          <w:sz w:val="14"/>
          <w:szCs w:val="22"/>
          <w:lang w:val="nl-BE"/>
        </w:rPr>
        <w:t>Vergoedingen en belastingen</w:t>
      </w:r>
      <w:bookmarkEnd w:id="223"/>
      <w:bookmarkEnd w:id="224"/>
      <w:bookmarkEnd w:id="225"/>
      <w:bookmarkEnd w:id="226"/>
      <w:r w:rsidRPr="00E36C3A">
        <w:rPr>
          <w:rFonts w:eastAsiaTheme="majorEastAsia" w:cs="Arial"/>
          <w:sz w:val="14"/>
          <w:szCs w:val="22"/>
          <w:lang w:val="nl-BE"/>
        </w:rPr>
        <w:t xml:space="preserve"> </w:t>
      </w:r>
    </w:p>
    <w:p w14:paraId="12BAA48D" w14:textId="77777777" w:rsidR="008F61D1" w:rsidRPr="00E36C3A" w:rsidRDefault="008F61D1" w:rsidP="008F61D1">
      <w:pPr>
        <w:rPr>
          <w:rFonts w:cs="Arial"/>
          <w:sz w:val="12"/>
          <w:lang w:val="nl-BE"/>
        </w:rPr>
      </w:pPr>
      <w:r w:rsidRPr="00E36C3A">
        <w:rPr>
          <w:rFonts w:cs="Arial"/>
          <w:sz w:val="12"/>
          <w:lang w:val="nl-BE"/>
        </w:rPr>
        <w:t>De DNB behoudt zich het recht voor om de DNG rechtstreeks of via een door hem gemandateerde derde een vergoeding aan te rekenen voor het ter beschikking stellen van Meetgegevens onder een vorm of met een frequentie die afwijkt van de beschrijvingen in de Meetcode van het TRDG.</w:t>
      </w:r>
    </w:p>
    <w:p w14:paraId="1D477BF3" w14:textId="77777777" w:rsidR="008F61D1" w:rsidRPr="00E36C3A" w:rsidRDefault="008F61D1" w:rsidP="008F61D1">
      <w:pPr>
        <w:rPr>
          <w:rFonts w:cs="Arial"/>
          <w:sz w:val="12"/>
          <w:lang w:val="nl-BE"/>
        </w:rPr>
      </w:pPr>
      <w:r w:rsidRPr="00E36C3A">
        <w:rPr>
          <w:rFonts w:cs="Arial"/>
          <w:sz w:val="12"/>
          <w:lang w:val="nl-BE"/>
        </w:rPr>
        <w:t xml:space="preserve"> </w:t>
      </w:r>
    </w:p>
    <w:p w14:paraId="5A6ACF7D" w14:textId="77777777" w:rsidR="008F61D1" w:rsidRPr="00E36C3A" w:rsidRDefault="008F61D1" w:rsidP="008F61D1">
      <w:pPr>
        <w:rPr>
          <w:rFonts w:cs="Arial"/>
          <w:sz w:val="12"/>
          <w:lang w:val="nl-BE"/>
        </w:rPr>
      </w:pPr>
      <w:r w:rsidRPr="00E36C3A">
        <w:rPr>
          <w:rFonts w:cs="Arial"/>
          <w:sz w:val="12"/>
          <w:lang w:val="nl-BE"/>
        </w:rPr>
        <w:t xml:space="preserve">Als er interventies en/of schakelingen gebeuren op vraag van de DNG, of hun oorzaak vinden in de installaties van de </w:t>
      </w:r>
      <w:proofErr w:type="spellStart"/>
      <w:r w:rsidRPr="00E36C3A">
        <w:rPr>
          <w:rFonts w:cs="Arial"/>
          <w:sz w:val="12"/>
          <w:lang w:val="nl-BE"/>
        </w:rPr>
        <w:t>DNG’s</w:t>
      </w:r>
      <w:proofErr w:type="spellEnd"/>
      <w:r w:rsidRPr="00E36C3A">
        <w:rPr>
          <w:rFonts w:cs="Arial"/>
          <w:sz w:val="12"/>
          <w:lang w:val="nl-BE"/>
        </w:rPr>
        <w:t xml:space="preserve">, zijn de kosten van deze interventies en/of schakelingen ten laste van de DNG. </w:t>
      </w:r>
    </w:p>
    <w:p w14:paraId="4EA6C510" w14:textId="77777777" w:rsidR="008F61D1" w:rsidRPr="00E36C3A" w:rsidRDefault="008F61D1" w:rsidP="008F61D1">
      <w:pPr>
        <w:rPr>
          <w:rFonts w:cs="Arial"/>
          <w:sz w:val="12"/>
          <w:lang w:val="nl-BE"/>
        </w:rPr>
      </w:pPr>
    </w:p>
    <w:p w14:paraId="6EE2E674" w14:textId="77777777" w:rsidR="008F61D1" w:rsidRPr="00E36C3A" w:rsidRDefault="008F61D1" w:rsidP="008F61D1">
      <w:pPr>
        <w:rPr>
          <w:rFonts w:cs="Arial"/>
          <w:sz w:val="12"/>
          <w:lang w:val="nl-BE"/>
        </w:rPr>
      </w:pPr>
      <w:r w:rsidRPr="00E36C3A">
        <w:rPr>
          <w:rFonts w:cs="Arial"/>
          <w:sz w:val="12"/>
          <w:lang w:val="nl-BE"/>
        </w:rPr>
        <w:t xml:space="preserve">De bedragen van de vergoedingen kunnen op eenvoudige vraag bij de DNB verkregen worden of geconsulteerd worden op de website van de DNB. </w:t>
      </w:r>
    </w:p>
    <w:p w14:paraId="11AFE2B6" w14:textId="77777777" w:rsidR="008F61D1" w:rsidRPr="00E36C3A" w:rsidRDefault="008F61D1" w:rsidP="008F61D1">
      <w:pPr>
        <w:rPr>
          <w:rFonts w:cs="Arial"/>
          <w:sz w:val="12"/>
          <w:lang w:val="nl-BE"/>
        </w:rPr>
      </w:pPr>
    </w:p>
    <w:p w14:paraId="23990941" w14:textId="77777777" w:rsidR="008F61D1" w:rsidRPr="00E36C3A" w:rsidRDefault="008F61D1" w:rsidP="008F61D1">
      <w:pPr>
        <w:rPr>
          <w:rFonts w:cs="Arial"/>
          <w:sz w:val="12"/>
          <w:lang w:val="nl-BE"/>
        </w:rPr>
      </w:pPr>
      <w:r w:rsidRPr="00E36C3A">
        <w:rPr>
          <w:rFonts w:cs="Arial"/>
          <w:sz w:val="12"/>
          <w:lang w:val="nl-BE"/>
        </w:rPr>
        <w:t xml:space="preserve">Nieuwe belastingen of heffingen van welke aard ook, verhogingen van bestaande belastingen en retributies die opgelegd worden door de bevoegde publieke instantie en die betrekking hebben op de Aansluiting op het distributienet zijn steeds ten laste van de DNG. </w:t>
      </w:r>
    </w:p>
    <w:p w14:paraId="4104D1BD" w14:textId="77777777" w:rsidR="008F61D1" w:rsidRPr="00E36C3A" w:rsidRDefault="008F61D1" w:rsidP="008F61D1">
      <w:pPr>
        <w:rPr>
          <w:sz w:val="12"/>
          <w:lang w:val="nl-BE"/>
        </w:rPr>
      </w:pPr>
    </w:p>
    <w:p w14:paraId="70EF124E" w14:textId="77777777" w:rsidR="008F61D1" w:rsidRPr="00E36C3A" w:rsidRDefault="008F61D1" w:rsidP="008F61D1">
      <w:pPr>
        <w:pStyle w:val="Kop2"/>
        <w:keepNext/>
        <w:keepLines/>
        <w:numPr>
          <w:ilvl w:val="1"/>
          <w:numId w:val="7"/>
        </w:numPr>
        <w:autoSpaceDE/>
        <w:autoSpaceDN/>
        <w:adjustRightInd/>
        <w:spacing w:before="200"/>
        <w:ind w:left="567" w:hanging="567"/>
        <w:jc w:val="both"/>
        <w:rPr>
          <w:rFonts w:eastAsiaTheme="majorEastAsia" w:cs="Arial"/>
          <w:sz w:val="14"/>
          <w:szCs w:val="22"/>
          <w:lang w:val="nl-BE"/>
        </w:rPr>
      </w:pPr>
      <w:bookmarkStart w:id="227" w:name="_Toc422305101"/>
      <w:bookmarkStart w:id="228" w:name="_Toc422405316"/>
      <w:bookmarkStart w:id="229" w:name="_Toc425838709"/>
      <w:bookmarkStart w:id="230" w:name="_Toc466378863"/>
      <w:r w:rsidRPr="00E36C3A">
        <w:rPr>
          <w:rFonts w:eastAsiaTheme="majorEastAsia" w:cs="Arial"/>
          <w:sz w:val="14"/>
          <w:szCs w:val="22"/>
          <w:lang w:val="nl-BE"/>
        </w:rPr>
        <w:t>Betalingstermijn</w:t>
      </w:r>
      <w:bookmarkEnd w:id="227"/>
      <w:bookmarkEnd w:id="228"/>
      <w:bookmarkEnd w:id="229"/>
      <w:bookmarkEnd w:id="230"/>
    </w:p>
    <w:p w14:paraId="1E9E2197" w14:textId="77777777" w:rsidR="008F61D1" w:rsidRPr="00E36C3A" w:rsidRDefault="008F61D1" w:rsidP="008F61D1">
      <w:pPr>
        <w:rPr>
          <w:sz w:val="12"/>
          <w:lang w:val="nl-BE"/>
        </w:rPr>
      </w:pPr>
      <w:r w:rsidRPr="00E36C3A">
        <w:rPr>
          <w:sz w:val="12"/>
          <w:lang w:val="nl-BE"/>
        </w:rPr>
        <w:t>De DNG of zijn gemandateerde verbindt zich ertoe het volledig bedrag van de éénmalige aansluitingstarieven</w:t>
      </w:r>
      <w:r w:rsidRPr="00E36C3A">
        <w:rPr>
          <w:b/>
          <w:bCs/>
          <w:sz w:val="12"/>
          <w:lang w:val="nl-BE"/>
        </w:rPr>
        <w:t xml:space="preserve"> </w:t>
      </w:r>
      <w:r w:rsidRPr="00E36C3A">
        <w:rPr>
          <w:sz w:val="12"/>
          <w:lang w:val="nl-BE"/>
        </w:rPr>
        <w:t>aan de DNB te betalen binnen de 30 dagen te rekenen vanaf de verzenddatum</w:t>
      </w:r>
      <w:r w:rsidRPr="00E36C3A">
        <w:rPr>
          <w:b/>
          <w:bCs/>
          <w:sz w:val="12"/>
          <w:lang w:val="nl-BE"/>
        </w:rPr>
        <w:t xml:space="preserve"> </w:t>
      </w:r>
      <w:r w:rsidRPr="00E36C3A">
        <w:rPr>
          <w:sz w:val="12"/>
          <w:lang w:val="nl-BE"/>
        </w:rPr>
        <w:t>van de factuur. Ingeval voorafbetaling gevraagd wordt door de DNB zal het in dienst nemen of in dienst houden van de Aansluiting enkel plaatsvinden na correcte afhandeling van de betalingen.</w:t>
      </w:r>
    </w:p>
    <w:p w14:paraId="337B5D05" w14:textId="77777777" w:rsidR="008F61D1" w:rsidRPr="00E36C3A" w:rsidRDefault="008F61D1" w:rsidP="008F61D1">
      <w:pPr>
        <w:rPr>
          <w:sz w:val="12"/>
          <w:lang w:val="nl-BE"/>
        </w:rPr>
      </w:pPr>
    </w:p>
    <w:p w14:paraId="1EAC6761" w14:textId="77777777" w:rsidR="008F61D1" w:rsidRPr="00E36C3A" w:rsidRDefault="008F61D1" w:rsidP="008F61D1">
      <w:pPr>
        <w:rPr>
          <w:sz w:val="12"/>
          <w:lang w:val="nl-BE"/>
        </w:rPr>
      </w:pPr>
      <w:r w:rsidRPr="00E36C3A">
        <w:rPr>
          <w:sz w:val="12"/>
          <w:lang w:val="nl-BE"/>
        </w:rPr>
        <w:t>Indien het een werk betreft waarvoor een offerte wordt opgemaakt, gelden de prijzen en betalingsmodaliteiten die vermeld zijn in de offerte.</w:t>
      </w:r>
    </w:p>
    <w:p w14:paraId="5706B08E" w14:textId="77777777" w:rsidR="008F61D1" w:rsidRPr="00E36C3A" w:rsidRDefault="008F61D1" w:rsidP="008F61D1">
      <w:pPr>
        <w:rPr>
          <w:sz w:val="12"/>
          <w:lang w:val="nl-BE"/>
        </w:rPr>
      </w:pPr>
    </w:p>
    <w:p w14:paraId="36B019E5" w14:textId="77777777" w:rsidR="008F61D1" w:rsidRPr="00E36C3A" w:rsidRDefault="008F61D1" w:rsidP="008F61D1">
      <w:pPr>
        <w:rPr>
          <w:sz w:val="12"/>
          <w:lang w:val="nl-BE"/>
        </w:rPr>
      </w:pPr>
      <w:r w:rsidRPr="00E36C3A">
        <w:rPr>
          <w:sz w:val="12"/>
          <w:lang w:val="nl-BE"/>
        </w:rPr>
        <w:t>De post- of bankrekening van de DNB moet binnen deze termijn gecrediteerd worden en dit in de munt van rekening, onafhankelijk van de munt waarin de betalingsopdracht werd gegeven.</w:t>
      </w:r>
    </w:p>
    <w:p w14:paraId="1CDE25A8" w14:textId="77777777" w:rsidR="008F61D1" w:rsidRPr="00E36C3A" w:rsidRDefault="008F61D1" w:rsidP="008F61D1">
      <w:pPr>
        <w:rPr>
          <w:sz w:val="12"/>
          <w:lang w:val="nl-BE"/>
        </w:rPr>
      </w:pPr>
    </w:p>
    <w:p w14:paraId="1157721B" w14:textId="77777777" w:rsidR="008F61D1" w:rsidRPr="00E36C3A" w:rsidRDefault="008F61D1" w:rsidP="008F61D1">
      <w:pPr>
        <w:pStyle w:val="Kop2"/>
        <w:keepNext/>
        <w:keepLines/>
        <w:numPr>
          <w:ilvl w:val="1"/>
          <w:numId w:val="7"/>
        </w:numPr>
        <w:autoSpaceDE/>
        <w:autoSpaceDN/>
        <w:adjustRightInd/>
        <w:spacing w:before="200"/>
        <w:ind w:left="567" w:hanging="567"/>
        <w:jc w:val="both"/>
        <w:rPr>
          <w:rFonts w:eastAsiaTheme="majorEastAsia" w:cs="Arial"/>
          <w:sz w:val="14"/>
          <w:szCs w:val="22"/>
          <w:lang w:val="nl-BE"/>
        </w:rPr>
      </w:pPr>
      <w:bookmarkStart w:id="231" w:name="_Toc422305102"/>
      <w:bookmarkStart w:id="232" w:name="_Toc422405317"/>
      <w:bookmarkStart w:id="233" w:name="_Toc425838710"/>
      <w:bookmarkStart w:id="234" w:name="_Toc466378864"/>
      <w:r w:rsidRPr="00E36C3A">
        <w:rPr>
          <w:rFonts w:eastAsiaTheme="majorEastAsia" w:cs="Arial"/>
          <w:sz w:val="14"/>
          <w:szCs w:val="22"/>
          <w:lang w:val="nl-BE"/>
        </w:rPr>
        <w:lastRenderedPageBreak/>
        <w:t>Verwijlintresten</w:t>
      </w:r>
      <w:bookmarkEnd w:id="231"/>
      <w:bookmarkEnd w:id="232"/>
      <w:bookmarkEnd w:id="233"/>
      <w:bookmarkEnd w:id="234"/>
    </w:p>
    <w:p w14:paraId="62C121A4" w14:textId="77777777" w:rsidR="008F61D1" w:rsidRPr="00E36C3A" w:rsidRDefault="008F61D1" w:rsidP="008F61D1">
      <w:pPr>
        <w:rPr>
          <w:b/>
          <w:bCs/>
          <w:sz w:val="12"/>
          <w:lang w:val="nl-BE"/>
        </w:rPr>
      </w:pPr>
      <w:r w:rsidRPr="00E36C3A">
        <w:rPr>
          <w:sz w:val="12"/>
          <w:lang w:val="nl-BE"/>
        </w:rPr>
        <w:t>De DNB heeft het recht om vanaf de uiterste betalingsdatum de betaling van interesten te vorderen, tegen de wettelijke rentevoet. Het aanrekenen van verwijlinteresten gebeurt zonder verdere verwittiging of ingebrekestelling en eenvoudig op grond van niet-betaling. De verwijlintresten zijn van rechtswege opeisbaar in geval van niet-betaling binnen de uiterste betalingsdatum.</w:t>
      </w:r>
    </w:p>
    <w:p w14:paraId="26347462" w14:textId="77777777" w:rsidR="008F61D1" w:rsidRPr="00E36C3A" w:rsidRDefault="008F61D1" w:rsidP="008F61D1">
      <w:pPr>
        <w:rPr>
          <w:sz w:val="12"/>
          <w:lang w:val="nl-BE"/>
        </w:rPr>
      </w:pPr>
    </w:p>
    <w:p w14:paraId="4561AB58" w14:textId="77777777" w:rsidR="008F61D1" w:rsidRPr="00E36C3A" w:rsidRDefault="008F61D1" w:rsidP="008F61D1">
      <w:pPr>
        <w:rPr>
          <w:b/>
          <w:bCs/>
          <w:sz w:val="12"/>
          <w:lang w:val="nl-BE"/>
        </w:rPr>
      </w:pPr>
      <w:r w:rsidRPr="00E36C3A">
        <w:rPr>
          <w:sz w:val="12"/>
          <w:lang w:val="nl-BE"/>
        </w:rPr>
        <w:t xml:space="preserve">De eerste betalingen verricht door de DNG na verzending van </w:t>
      </w:r>
      <w:proofErr w:type="spellStart"/>
      <w:r w:rsidRPr="00E36C3A">
        <w:rPr>
          <w:sz w:val="12"/>
          <w:lang w:val="nl-BE"/>
        </w:rPr>
        <w:t>debetnota’s</w:t>
      </w:r>
      <w:proofErr w:type="spellEnd"/>
      <w:r w:rsidRPr="00E36C3A">
        <w:rPr>
          <w:sz w:val="12"/>
          <w:lang w:val="nl-BE"/>
        </w:rPr>
        <w:t xml:space="preserve"> door de DNB voor het aanrekenen van verwijlinteresten zullen steeds eerst geboekt worden ter vereffening van die </w:t>
      </w:r>
      <w:proofErr w:type="spellStart"/>
      <w:r w:rsidRPr="00E36C3A">
        <w:rPr>
          <w:sz w:val="12"/>
          <w:lang w:val="nl-BE"/>
        </w:rPr>
        <w:t>debetnota’s</w:t>
      </w:r>
      <w:proofErr w:type="spellEnd"/>
      <w:r w:rsidRPr="00E36C3A">
        <w:rPr>
          <w:sz w:val="12"/>
          <w:lang w:val="nl-BE"/>
        </w:rPr>
        <w:t>.</w:t>
      </w:r>
    </w:p>
    <w:p w14:paraId="4EF71D58" w14:textId="77777777" w:rsidR="008F61D1" w:rsidRPr="00E36C3A" w:rsidRDefault="008F61D1" w:rsidP="008F61D1">
      <w:pPr>
        <w:rPr>
          <w:sz w:val="12"/>
          <w:lang w:val="nl-BE"/>
        </w:rPr>
      </w:pPr>
    </w:p>
    <w:p w14:paraId="792D92A8" w14:textId="77777777" w:rsidR="008F61D1" w:rsidRPr="00E36C3A" w:rsidRDefault="008F61D1" w:rsidP="008F61D1">
      <w:pPr>
        <w:pStyle w:val="Kop2"/>
        <w:keepNext/>
        <w:keepLines/>
        <w:numPr>
          <w:ilvl w:val="1"/>
          <w:numId w:val="7"/>
        </w:numPr>
        <w:autoSpaceDE/>
        <w:autoSpaceDN/>
        <w:adjustRightInd/>
        <w:spacing w:before="200"/>
        <w:ind w:left="567" w:hanging="567"/>
        <w:jc w:val="both"/>
        <w:rPr>
          <w:rFonts w:eastAsiaTheme="majorEastAsia" w:cs="Arial"/>
          <w:sz w:val="14"/>
          <w:szCs w:val="22"/>
          <w:lang w:val="nl-BE"/>
        </w:rPr>
      </w:pPr>
      <w:bookmarkStart w:id="235" w:name="_Toc422305103"/>
      <w:bookmarkStart w:id="236" w:name="_Toc422405318"/>
      <w:bookmarkStart w:id="237" w:name="_Toc425838711"/>
      <w:bookmarkStart w:id="238" w:name="_Toc466378865"/>
      <w:r w:rsidRPr="00E36C3A">
        <w:rPr>
          <w:rFonts w:eastAsiaTheme="majorEastAsia" w:cs="Arial"/>
          <w:sz w:val="14"/>
          <w:szCs w:val="22"/>
          <w:lang w:val="nl-BE"/>
        </w:rPr>
        <w:t>Laattijdige betaling en buitendienststelling van de Aansluiting</w:t>
      </w:r>
      <w:bookmarkEnd w:id="235"/>
      <w:bookmarkEnd w:id="236"/>
      <w:bookmarkEnd w:id="237"/>
      <w:bookmarkEnd w:id="238"/>
    </w:p>
    <w:p w14:paraId="64602121" w14:textId="77777777" w:rsidR="008F61D1" w:rsidRPr="00E36C3A" w:rsidRDefault="008F61D1" w:rsidP="008F61D1">
      <w:pPr>
        <w:rPr>
          <w:sz w:val="12"/>
          <w:lang w:val="nl-BE"/>
        </w:rPr>
      </w:pPr>
      <w:r w:rsidRPr="00E36C3A">
        <w:rPr>
          <w:sz w:val="12"/>
          <w:lang w:val="nl-BE"/>
        </w:rPr>
        <w:t>Bij laattijdige betaling van hetzij de hoofdsom, de interesten of eventuele andere, van in dit contract bepaalde kosten, heeft de DNB het recht om na verwittiging van de DNG en vervolgens een ingebrekestelling per aangetekende brief, de Aansluiting buiten dienst te stellen, 14 dagen na postdatum van deze brief (poststempel geldt als bewijs).</w:t>
      </w:r>
    </w:p>
    <w:p w14:paraId="56E3D09E" w14:textId="77777777" w:rsidR="008F61D1" w:rsidRPr="00E36C3A" w:rsidRDefault="008F61D1" w:rsidP="008F61D1">
      <w:pPr>
        <w:rPr>
          <w:sz w:val="12"/>
          <w:lang w:val="nl-BE"/>
        </w:rPr>
      </w:pPr>
    </w:p>
    <w:p w14:paraId="7CC7313C" w14:textId="77777777" w:rsidR="008F61D1" w:rsidRPr="00E36C3A" w:rsidRDefault="008F61D1" w:rsidP="008F61D1">
      <w:pPr>
        <w:rPr>
          <w:sz w:val="12"/>
          <w:lang w:val="nl-BE"/>
        </w:rPr>
      </w:pPr>
      <w:r w:rsidRPr="00E36C3A">
        <w:rPr>
          <w:sz w:val="12"/>
          <w:lang w:val="nl-BE"/>
        </w:rPr>
        <w:t>De Aansluiting wordt opnieuw in dienst gesteld na betaling door de DNG van alle nog verschuldigde sommen (hoofdsom, intresten en andere kosten).</w:t>
      </w:r>
    </w:p>
    <w:p w14:paraId="00B8C3F6" w14:textId="77777777" w:rsidR="008F61D1" w:rsidRPr="00E36C3A" w:rsidRDefault="008F61D1" w:rsidP="008F61D1">
      <w:pPr>
        <w:rPr>
          <w:sz w:val="12"/>
          <w:lang w:val="nl-BE"/>
        </w:rPr>
      </w:pPr>
    </w:p>
    <w:p w14:paraId="4B425CE7" w14:textId="77777777" w:rsidR="008F61D1" w:rsidRPr="00E36C3A" w:rsidRDefault="008F61D1" w:rsidP="008F61D1">
      <w:pPr>
        <w:rPr>
          <w:sz w:val="12"/>
          <w:lang w:val="nl-BE"/>
        </w:rPr>
      </w:pPr>
      <w:r w:rsidRPr="00E36C3A">
        <w:rPr>
          <w:sz w:val="12"/>
          <w:lang w:val="nl-BE"/>
        </w:rPr>
        <w:t>De DNB is niet aansprakelijk t.o.v. de DNG voor enige schade, noch voor winstderving veroorzaakt door de buitendienststelling van de Aansluiting uitgevoerd omwille van het in gebreke blijven van de betaling.</w:t>
      </w:r>
    </w:p>
    <w:p w14:paraId="4BF2EE06" w14:textId="77777777" w:rsidR="008F61D1" w:rsidRPr="00E36C3A" w:rsidRDefault="008F61D1" w:rsidP="008F61D1">
      <w:pPr>
        <w:rPr>
          <w:sz w:val="12"/>
          <w:lang w:val="nl-BE"/>
        </w:rPr>
      </w:pPr>
    </w:p>
    <w:p w14:paraId="41A234E5" w14:textId="77777777" w:rsidR="008F61D1" w:rsidRPr="00E36C3A" w:rsidRDefault="008F61D1" w:rsidP="008F61D1">
      <w:pPr>
        <w:pStyle w:val="Kop2"/>
        <w:keepNext/>
        <w:keepLines/>
        <w:numPr>
          <w:ilvl w:val="1"/>
          <w:numId w:val="7"/>
        </w:numPr>
        <w:autoSpaceDE/>
        <w:autoSpaceDN/>
        <w:adjustRightInd/>
        <w:spacing w:before="200"/>
        <w:ind w:left="567" w:hanging="567"/>
        <w:jc w:val="both"/>
        <w:rPr>
          <w:rFonts w:eastAsiaTheme="majorEastAsia" w:cs="Arial"/>
          <w:sz w:val="14"/>
          <w:szCs w:val="22"/>
          <w:lang w:val="nl-BE"/>
        </w:rPr>
      </w:pPr>
      <w:bookmarkStart w:id="239" w:name="_Toc466378866"/>
      <w:r w:rsidRPr="00E36C3A">
        <w:rPr>
          <w:rFonts w:eastAsiaTheme="majorEastAsia" w:cs="Arial"/>
          <w:sz w:val="14"/>
          <w:szCs w:val="22"/>
          <w:lang w:val="nl-BE"/>
        </w:rPr>
        <w:t xml:space="preserve">De </w:t>
      </w:r>
      <w:bookmarkStart w:id="240" w:name="_Toc422305104"/>
      <w:bookmarkStart w:id="241" w:name="_Toc422405319"/>
      <w:bookmarkStart w:id="242" w:name="_Toc425838712"/>
      <w:r w:rsidRPr="00E36C3A">
        <w:rPr>
          <w:rFonts w:eastAsiaTheme="majorEastAsia" w:cs="Arial"/>
          <w:sz w:val="14"/>
          <w:szCs w:val="22"/>
          <w:lang w:val="nl-BE"/>
        </w:rPr>
        <w:t>Verbetering van facturen</w:t>
      </w:r>
      <w:bookmarkEnd w:id="239"/>
      <w:bookmarkEnd w:id="240"/>
      <w:bookmarkEnd w:id="241"/>
      <w:bookmarkEnd w:id="242"/>
    </w:p>
    <w:p w14:paraId="06D4116F" w14:textId="77777777" w:rsidR="008F61D1" w:rsidRPr="00E36C3A" w:rsidRDefault="008F61D1" w:rsidP="008F61D1">
      <w:pPr>
        <w:rPr>
          <w:sz w:val="12"/>
          <w:lang w:val="nl-BE"/>
        </w:rPr>
      </w:pPr>
      <w:r w:rsidRPr="00E36C3A">
        <w:rPr>
          <w:sz w:val="12"/>
          <w:lang w:val="nl-BE"/>
        </w:rPr>
        <w:t>Indien de DNG van mening is dat er door een vergissing één</w:t>
      </w:r>
      <w:r w:rsidRPr="00E36C3A">
        <w:rPr>
          <w:b/>
          <w:bCs/>
          <w:sz w:val="12"/>
          <w:lang w:val="nl-BE"/>
        </w:rPr>
        <w:t xml:space="preserve"> </w:t>
      </w:r>
      <w:r w:rsidRPr="00E36C3A">
        <w:rPr>
          <w:sz w:val="12"/>
          <w:lang w:val="nl-BE"/>
        </w:rPr>
        <w:t xml:space="preserve">of meerdere verbeteringen aan de factuur aangebracht moeten worden, dient zij de DNB te contacteren vóór de uiterste betaaldatum van de factuur, waarna beide Partijen tot een vergelijk zullen komen. </w:t>
      </w:r>
    </w:p>
    <w:p w14:paraId="10AD7371" w14:textId="77777777" w:rsidR="008F61D1" w:rsidRPr="00E36C3A" w:rsidRDefault="008F61D1" w:rsidP="008F61D1">
      <w:pPr>
        <w:rPr>
          <w:sz w:val="12"/>
          <w:lang w:val="nl-BE"/>
        </w:rPr>
      </w:pPr>
    </w:p>
    <w:p w14:paraId="69327EA7" w14:textId="77777777" w:rsidR="008F61D1" w:rsidRPr="00E36C3A" w:rsidRDefault="008F61D1" w:rsidP="008F61D1">
      <w:pPr>
        <w:rPr>
          <w:sz w:val="12"/>
          <w:lang w:val="nl-BE"/>
        </w:rPr>
      </w:pPr>
      <w:r w:rsidRPr="00E36C3A">
        <w:rPr>
          <w:sz w:val="12"/>
          <w:lang w:val="nl-BE"/>
        </w:rPr>
        <w:t>Indien een vergissing in de facturatie wordt ontdekt na de betaling van de factuur, zullen de Partijen overleg plegen om tot een vergelijk te komen.</w:t>
      </w:r>
    </w:p>
    <w:p w14:paraId="5131CD3F" w14:textId="77777777" w:rsidR="008F61D1" w:rsidRPr="00E36C3A" w:rsidRDefault="008F61D1" w:rsidP="008F61D1">
      <w:pPr>
        <w:rPr>
          <w:sz w:val="12"/>
          <w:lang w:val="nl-BE"/>
        </w:rPr>
      </w:pPr>
    </w:p>
    <w:p w14:paraId="7E9BB809" w14:textId="77777777" w:rsidR="008F61D1" w:rsidRPr="00E36C3A" w:rsidRDefault="008F61D1" w:rsidP="008F61D1">
      <w:pPr>
        <w:pStyle w:val="Kop2"/>
        <w:keepNext/>
        <w:keepLines/>
        <w:numPr>
          <w:ilvl w:val="1"/>
          <w:numId w:val="7"/>
        </w:numPr>
        <w:autoSpaceDE/>
        <w:autoSpaceDN/>
        <w:adjustRightInd/>
        <w:spacing w:before="200"/>
        <w:ind w:left="567" w:hanging="567"/>
        <w:jc w:val="both"/>
        <w:rPr>
          <w:rFonts w:eastAsiaTheme="majorEastAsia" w:cs="Arial"/>
          <w:sz w:val="14"/>
          <w:szCs w:val="22"/>
          <w:lang w:val="nl-BE"/>
        </w:rPr>
      </w:pPr>
      <w:bookmarkStart w:id="243" w:name="_Toc422305105"/>
      <w:bookmarkStart w:id="244" w:name="_Toc422405320"/>
      <w:bookmarkStart w:id="245" w:name="_Toc425838713"/>
      <w:bookmarkStart w:id="246" w:name="_Toc466378867"/>
      <w:r w:rsidRPr="00E36C3A">
        <w:rPr>
          <w:rFonts w:eastAsiaTheme="majorEastAsia" w:cs="Arial"/>
          <w:sz w:val="14"/>
          <w:szCs w:val="22"/>
          <w:lang w:val="nl-BE"/>
        </w:rPr>
        <w:t>Onrechtmatige afname van energie</w:t>
      </w:r>
      <w:bookmarkEnd w:id="243"/>
      <w:bookmarkEnd w:id="244"/>
      <w:bookmarkEnd w:id="245"/>
      <w:bookmarkEnd w:id="246"/>
    </w:p>
    <w:p w14:paraId="36F01C6B" w14:textId="77777777" w:rsidR="008F61D1" w:rsidRPr="00E36C3A" w:rsidRDefault="008F61D1" w:rsidP="008F61D1">
      <w:pPr>
        <w:rPr>
          <w:sz w:val="12"/>
          <w:lang w:val="nl-BE"/>
        </w:rPr>
      </w:pPr>
      <w:r w:rsidRPr="00E36C3A">
        <w:rPr>
          <w:sz w:val="12"/>
          <w:lang w:val="nl-BE"/>
        </w:rPr>
        <w:t>Onrechtmatig afgenomen energie is energieafname via een Toegangspunt op een moment en gedurende een periode waarin op dit Toegangspunt geen Toegangshouder geregistreerd is in het Toegangsregister van de DNB voor zover dat deze niet-registratie geen gevolg is van een fout of nalatigheid van de DNB.</w:t>
      </w:r>
      <w:r w:rsidRPr="00E36C3A" w:rsidDel="00B17306">
        <w:rPr>
          <w:sz w:val="12"/>
          <w:lang w:val="nl-BE"/>
        </w:rPr>
        <w:t xml:space="preserve"> </w:t>
      </w:r>
    </w:p>
    <w:p w14:paraId="347F051F" w14:textId="77777777" w:rsidR="008F61D1" w:rsidRPr="00E36C3A" w:rsidRDefault="008F61D1" w:rsidP="008F61D1">
      <w:pPr>
        <w:rPr>
          <w:sz w:val="12"/>
          <w:lang w:val="nl-BE"/>
        </w:rPr>
      </w:pPr>
    </w:p>
    <w:p w14:paraId="07F43E59" w14:textId="77777777" w:rsidR="008F61D1" w:rsidRPr="00E36C3A" w:rsidRDefault="008F61D1" w:rsidP="008F61D1">
      <w:pPr>
        <w:rPr>
          <w:sz w:val="12"/>
          <w:lang w:val="nl-BE"/>
        </w:rPr>
      </w:pPr>
      <w:r w:rsidRPr="00E36C3A">
        <w:rPr>
          <w:sz w:val="12"/>
          <w:lang w:val="nl-BE"/>
        </w:rPr>
        <w:t>Er is sprake van onrechtmatige (al dan niet tijdelijke) onmogelijkheid om een Aansluiting buiten dienst te stellen wanneer de DNB zich aangeboden heeft voor buitendienststelling van de Aansluiting via dewelke onrechtmatige energie afgenomen wordt, na voorafgaandelijke verwittiging van aanbieding, zonder de mogelijkheid te hebben gekregen om toegang te krijgen tot het betrokken Vastgoed met het oog op effectieve afsluiting.</w:t>
      </w:r>
    </w:p>
    <w:p w14:paraId="400885C5" w14:textId="77777777" w:rsidR="008F61D1" w:rsidRPr="00E36C3A" w:rsidRDefault="008F61D1" w:rsidP="008F61D1">
      <w:pPr>
        <w:rPr>
          <w:sz w:val="12"/>
          <w:lang w:val="nl-BE"/>
        </w:rPr>
      </w:pPr>
    </w:p>
    <w:p w14:paraId="22009B34" w14:textId="77777777" w:rsidR="008F61D1" w:rsidRPr="00E36C3A" w:rsidRDefault="008F61D1" w:rsidP="008F61D1">
      <w:pPr>
        <w:rPr>
          <w:sz w:val="12"/>
          <w:lang w:val="nl-BE"/>
        </w:rPr>
      </w:pPr>
      <w:r w:rsidRPr="00E36C3A">
        <w:rPr>
          <w:sz w:val="12"/>
          <w:lang w:val="nl-BE"/>
        </w:rPr>
        <w:t>Ingeval van energiefraude, bedrog, onrechtmatig afgenomen of geïnjecteerde energie en onrechtmatige onmogelijkheid van buitendienststelling zal de DNB aan de DNG de volgende kosten en schadeposten aanrekenen, voor zover deze kosten en schade effectief tot stand zijn gekomen:</w:t>
      </w:r>
    </w:p>
    <w:p w14:paraId="0C4EDC0E" w14:textId="77777777" w:rsidR="008F61D1" w:rsidRPr="00E36C3A" w:rsidRDefault="008F61D1" w:rsidP="008F61D1">
      <w:pPr>
        <w:pStyle w:val="Lijstalinea"/>
        <w:numPr>
          <w:ilvl w:val="0"/>
          <w:numId w:val="6"/>
        </w:numPr>
        <w:adjustRightInd/>
        <w:contextualSpacing w:val="0"/>
        <w:rPr>
          <w:sz w:val="12"/>
          <w:lang w:val="nl-BE"/>
        </w:rPr>
      </w:pPr>
      <w:r w:rsidRPr="00E36C3A">
        <w:rPr>
          <w:sz w:val="12"/>
          <w:lang w:val="nl-BE"/>
        </w:rPr>
        <w:t>de kosten van schorsingswerken, afsluitingswerken en heraansluitingskosten;</w:t>
      </w:r>
    </w:p>
    <w:p w14:paraId="485CC779" w14:textId="77777777" w:rsidR="008F61D1" w:rsidRPr="00E36C3A" w:rsidRDefault="008F61D1" w:rsidP="008F61D1">
      <w:pPr>
        <w:pStyle w:val="Lijstalinea"/>
        <w:numPr>
          <w:ilvl w:val="0"/>
          <w:numId w:val="6"/>
        </w:numPr>
        <w:adjustRightInd/>
        <w:contextualSpacing w:val="0"/>
        <w:rPr>
          <w:sz w:val="12"/>
          <w:lang w:val="nl-BE"/>
        </w:rPr>
      </w:pPr>
      <w:r w:rsidRPr="00E36C3A">
        <w:rPr>
          <w:sz w:val="12"/>
          <w:lang w:val="nl-BE"/>
        </w:rPr>
        <w:t>de kosten voor de herstelling van de beschadiging van de installaties van de DNB;</w:t>
      </w:r>
    </w:p>
    <w:p w14:paraId="2A5D4440" w14:textId="77777777" w:rsidR="008F61D1" w:rsidRPr="00E36C3A" w:rsidRDefault="008F61D1" w:rsidP="008F61D1">
      <w:pPr>
        <w:pStyle w:val="Lijstalinea"/>
        <w:numPr>
          <w:ilvl w:val="0"/>
          <w:numId w:val="6"/>
        </w:numPr>
        <w:adjustRightInd/>
        <w:contextualSpacing w:val="0"/>
        <w:rPr>
          <w:sz w:val="12"/>
        </w:rPr>
      </w:pPr>
      <w:r w:rsidRPr="00E36C3A">
        <w:rPr>
          <w:sz w:val="12"/>
        </w:rPr>
        <w:t xml:space="preserve">de </w:t>
      </w:r>
      <w:proofErr w:type="spellStart"/>
      <w:r w:rsidRPr="00E36C3A">
        <w:rPr>
          <w:sz w:val="12"/>
        </w:rPr>
        <w:t>kosten</w:t>
      </w:r>
      <w:proofErr w:type="spellEnd"/>
      <w:r w:rsidRPr="00E36C3A">
        <w:rPr>
          <w:sz w:val="12"/>
        </w:rPr>
        <w:t xml:space="preserve"> van </w:t>
      </w:r>
      <w:proofErr w:type="spellStart"/>
      <w:r w:rsidRPr="00E36C3A">
        <w:rPr>
          <w:sz w:val="12"/>
        </w:rPr>
        <w:t>energieverbruiken</w:t>
      </w:r>
      <w:proofErr w:type="spellEnd"/>
      <w:r w:rsidRPr="00E36C3A">
        <w:rPr>
          <w:sz w:val="12"/>
        </w:rPr>
        <w:t>;</w:t>
      </w:r>
    </w:p>
    <w:p w14:paraId="5710162D" w14:textId="77777777" w:rsidR="008F61D1" w:rsidRPr="00E36C3A" w:rsidRDefault="008F61D1" w:rsidP="008F61D1">
      <w:pPr>
        <w:pStyle w:val="Lijstalinea"/>
        <w:numPr>
          <w:ilvl w:val="0"/>
          <w:numId w:val="6"/>
        </w:numPr>
        <w:adjustRightInd/>
        <w:contextualSpacing w:val="0"/>
        <w:rPr>
          <w:sz w:val="12"/>
          <w:lang w:val="nl-BE"/>
        </w:rPr>
      </w:pPr>
      <w:r w:rsidRPr="00E36C3A">
        <w:rPr>
          <w:sz w:val="12"/>
          <w:lang w:val="nl-BE"/>
        </w:rPr>
        <w:t>de distributienetvergoedingen en transportnetvergoedingen en alle toeslagen;</w:t>
      </w:r>
    </w:p>
    <w:p w14:paraId="1F2FAEC4" w14:textId="77777777" w:rsidR="008F61D1" w:rsidRPr="00E36C3A" w:rsidRDefault="008F61D1" w:rsidP="008F61D1">
      <w:pPr>
        <w:pStyle w:val="Lijstalinea"/>
        <w:numPr>
          <w:ilvl w:val="0"/>
          <w:numId w:val="6"/>
        </w:numPr>
        <w:adjustRightInd/>
        <w:contextualSpacing w:val="0"/>
        <w:rPr>
          <w:sz w:val="12"/>
        </w:rPr>
      </w:pPr>
      <w:r w:rsidRPr="00E36C3A">
        <w:rPr>
          <w:sz w:val="12"/>
        </w:rPr>
        <w:t xml:space="preserve">de </w:t>
      </w:r>
      <w:proofErr w:type="spellStart"/>
      <w:r w:rsidRPr="00E36C3A">
        <w:rPr>
          <w:sz w:val="12"/>
        </w:rPr>
        <w:t>verplaatsingskosten</w:t>
      </w:r>
      <w:proofErr w:type="spellEnd"/>
      <w:r w:rsidRPr="00E36C3A">
        <w:rPr>
          <w:sz w:val="12"/>
        </w:rPr>
        <w:t>;</w:t>
      </w:r>
    </w:p>
    <w:p w14:paraId="035056B2" w14:textId="77777777" w:rsidR="008F61D1" w:rsidRPr="00E36C3A" w:rsidRDefault="008F61D1" w:rsidP="008F61D1">
      <w:pPr>
        <w:pStyle w:val="Lijstalinea"/>
        <w:numPr>
          <w:ilvl w:val="0"/>
          <w:numId w:val="6"/>
        </w:numPr>
        <w:adjustRightInd/>
        <w:contextualSpacing w:val="0"/>
        <w:rPr>
          <w:sz w:val="12"/>
          <w:lang w:val="nl-BE"/>
        </w:rPr>
      </w:pPr>
      <w:r w:rsidRPr="00E36C3A">
        <w:rPr>
          <w:sz w:val="12"/>
          <w:lang w:val="nl-BE"/>
        </w:rPr>
        <w:t>de juridische en administratieve kosten, met inbegrip van inningskosten.</w:t>
      </w:r>
    </w:p>
    <w:p w14:paraId="3C1A94B3" w14:textId="77777777" w:rsidR="008F61D1" w:rsidRPr="00E36C3A" w:rsidRDefault="008F61D1" w:rsidP="008F61D1">
      <w:pPr>
        <w:rPr>
          <w:sz w:val="12"/>
          <w:lang w:val="nl-BE"/>
        </w:rPr>
      </w:pPr>
    </w:p>
    <w:p w14:paraId="62C76D0C" w14:textId="77777777" w:rsidR="008F61D1" w:rsidRPr="00E36C3A" w:rsidRDefault="008F61D1" w:rsidP="008F61D1">
      <w:pPr>
        <w:rPr>
          <w:sz w:val="12"/>
          <w:lang w:val="nl-BE"/>
        </w:rPr>
      </w:pPr>
      <w:r w:rsidRPr="00E36C3A">
        <w:rPr>
          <w:sz w:val="12"/>
          <w:lang w:val="nl-BE"/>
        </w:rPr>
        <w:t xml:space="preserve">De </w:t>
      </w:r>
      <w:proofErr w:type="spellStart"/>
      <w:r w:rsidRPr="00E36C3A">
        <w:rPr>
          <w:sz w:val="12"/>
          <w:lang w:val="nl-BE"/>
        </w:rPr>
        <w:t>wederindienststelling</w:t>
      </w:r>
      <w:proofErr w:type="spellEnd"/>
      <w:r w:rsidRPr="00E36C3A">
        <w:rPr>
          <w:sz w:val="12"/>
          <w:lang w:val="nl-BE"/>
        </w:rPr>
        <w:t xml:space="preserve"> zal slechts geschieden indien aan alle voorwaarden voldaan is, zoals </w:t>
      </w:r>
      <w:proofErr w:type="spellStart"/>
      <w:r w:rsidRPr="00E36C3A">
        <w:rPr>
          <w:sz w:val="12"/>
          <w:lang w:val="nl-BE"/>
        </w:rPr>
        <w:t>ondermeer</w:t>
      </w:r>
      <w:proofErr w:type="spellEnd"/>
      <w:r w:rsidRPr="00E36C3A">
        <w:rPr>
          <w:sz w:val="12"/>
          <w:lang w:val="nl-BE"/>
        </w:rPr>
        <w:t xml:space="preserve"> het bestaan van een geldig leveringscontract, betaling van alle kosten, schadevergoedingen, intresten,….</w:t>
      </w:r>
    </w:p>
    <w:p w14:paraId="17AF43EC" w14:textId="77777777" w:rsidR="008F61D1" w:rsidRPr="00E36C3A" w:rsidRDefault="008F61D1" w:rsidP="008F61D1">
      <w:pPr>
        <w:rPr>
          <w:sz w:val="12"/>
          <w:lang w:val="nl-BE"/>
        </w:rPr>
      </w:pPr>
    </w:p>
    <w:p w14:paraId="39CD710D" w14:textId="77777777" w:rsidR="008F61D1" w:rsidRPr="00E36C3A" w:rsidRDefault="008F61D1" w:rsidP="008F61D1">
      <w:pPr>
        <w:pStyle w:val="Kop2"/>
        <w:keepNext/>
        <w:keepLines/>
        <w:numPr>
          <w:ilvl w:val="1"/>
          <w:numId w:val="7"/>
        </w:numPr>
        <w:autoSpaceDE/>
        <w:autoSpaceDN/>
        <w:adjustRightInd/>
        <w:spacing w:before="200"/>
        <w:ind w:left="567" w:hanging="567"/>
        <w:jc w:val="both"/>
        <w:rPr>
          <w:rFonts w:eastAsiaTheme="majorEastAsia" w:cs="Arial"/>
          <w:sz w:val="14"/>
          <w:szCs w:val="22"/>
          <w:lang w:val="nl-BE"/>
        </w:rPr>
      </w:pPr>
      <w:bookmarkStart w:id="247" w:name="_Toc422305106"/>
      <w:bookmarkStart w:id="248" w:name="_Toc422405321"/>
      <w:bookmarkStart w:id="249" w:name="_Toc425838714"/>
      <w:bookmarkStart w:id="250" w:name="_Toc466378868"/>
      <w:r w:rsidRPr="00E36C3A">
        <w:rPr>
          <w:rFonts w:eastAsiaTheme="majorEastAsia" w:cs="Arial"/>
          <w:sz w:val="14"/>
          <w:szCs w:val="22"/>
          <w:lang w:val="nl-BE"/>
        </w:rPr>
        <w:t xml:space="preserve">Kosten buiten- en </w:t>
      </w:r>
      <w:proofErr w:type="spellStart"/>
      <w:r w:rsidRPr="00E36C3A">
        <w:rPr>
          <w:rFonts w:eastAsiaTheme="majorEastAsia" w:cs="Arial"/>
          <w:sz w:val="14"/>
          <w:szCs w:val="22"/>
          <w:lang w:val="nl-BE"/>
        </w:rPr>
        <w:t>herindienststelling</w:t>
      </w:r>
      <w:bookmarkEnd w:id="247"/>
      <w:bookmarkEnd w:id="248"/>
      <w:bookmarkEnd w:id="249"/>
      <w:bookmarkEnd w:id="250"/>
      <w:proofErr w:type="spellEnd"/>
    </w:p>
    <w:p w14:paraId="1976E208" w14:textId="77777777" w:rsidR="008F61D1" w:rsidRPr="00E36C3A" w:rsidRDefault="008F61D1" w:rsidP="008F61D1">
      <w:pPr>
        <w:rPr>
          <w:sz w:val="12"/>
          <w:lang w:val="nl-BE"/>
        </w:rPr>
      </w:pPr>
      <w:r w:rsidRPr="00E36C3A">
        <w:rPr>
          <w:sz w:val="12"/>
          <w:lang w:val="nl-BE"/>
        </w:rPr>
        <w:t xml:space="preserve">De kosten voor een buitendienststelling of </w:t>
      </w:r>
      <w:proofErr w:type="spellStart"/>
      <w:r w:rsidRPr="00E36C3A">
        <w:rPr>
          <w:sz w:val="12"/>
          <w:lang w:val="nl-BE"/>
        </w:rPr>
        <w:t>herindienststelling</w:t>
      </w:r>
      <w:proofErr w:type="spellEnd"/>
      <w:r w:rsidRPr="00E36C3A">
        <w:rPr>
          <w:sz w:val="12"/>
          <w:lang w:val="nl-BE"/>
        </w:rPr>
        <w:t xml:space="preserve"> van een Aansluiting vallen ten laste van de DNG behoudens in geval de aansluiting door een fout van de DNB ten onrechte buiten dienst werd gesteld.</w:t>
      </w:r>
    </w:p>
    <w:p w14:paraId="00CA0C60" w14:textId="77777777" w:rsidR="008F61D1" w:rsidRPr="00E36C3A" w:rsidRDefault="008F61D1" w:rsidP="008F61D1">
      <w:pPr>
        <w:rPr>
          <w:sz w:val="12"/>
          <w:lang w:val="nl-BE"/>
        </w:rPr>
      </w:pPr>
    </w:p>
    <w:p w14:paraId="62496C94" w14:textId="77777777" w:rsidR="008F61D1" w:rsidRPr="00E36C3A" w:rsidRDefault="008F61D1" w:rsidP="008F61D1">
      <w:pPr>
        <w:pStyle w:val="Kop1"/>
        <w:keepLines/>
        <w:numPr>
          <w:ilvl w:val="0"/>
          <w:numId w:val="7"/>
        </w:numPr>
        <w:shd w:val="clear" w:color="auto" w:fill="D9D9D9" w:themeFill="background1" w:themeFillShade="D9"/>
        <w:autoSpaceDE/>
        <w:autoSpaceDN/>
        <w:adjustRightInd/>
        <w:spacing w:before="480" w:after="240"/>
        <w:ind w:left="1418" w:hanging="1418"/>
        <w:jc w:val="both"/>
        <w:rPr>
          <w:rFonts w:eastAsiaTheme="majorEastAsia" w:cs="Arial"/>
          <w:b/>
          <w:bCs/>
          <w:i w:val="0"/>
          <w:iCs w:val="0"/>
          <w:sz w:val="16"/>
          <w:szCs w:val="24"/>
          <w:lang w:val="nl-BE"/>
        </w:rPr>
      </w:pPr>
      <w:bookmarkStart w:id="251" w:name="_Toc425838715"/>
      <w:bookmarkStart w:id="252" w:name="_Toc466378869"/>
      <w:r w:rsidRPr="00E36C3A">
        <w:rPr>
          <w:rFonts w:eastAsiaTheme="majorEastAsia" w:cs="Arial"/>
          <w:b/>
          <w:bCs/>
          <w:i w:val="0"/>
          <w:iCs w:val="0"/>
          <w:sz w:val="16"/>
          <w:szCs w:val="24"/>
          <w:lang w:val="nl-BE"/>
        </w:rPr>
        <w:t>Wederzijdse informatie</w:t>
      </w:r>
      <w:bookmarkEnd w:id="251"/>
      <w:bookmarkEnd w:id="252"/>
    </w:p>
    <w:p w14:paraId="35D76254" w14:textId="77777777" w:rsidR="008F61D1" w:rsidRPr="00E36C3A" w:rsidRDefault="008F61D1" w:rsidP="008F61D1">
      <w:pPr>
        <w:rPr>
          <w:sz w:val="12"/>
          <w:lang w:val="nl-BE" w:eastAsia="nl-BE"/>
        </w:rPr>
      </w:pPr>
      <w:r w:rsidRPr="00E36C3A">
        <w:rPr>
          <w:sz w:val="12"/>
          <w:lang w:val="nl-BE" w:eastAsia="nl-BE"/>
        </w:rPr>
        <w:t xml:space="preserve">De Partijen geven elkaar onverwijld de inlichtingen die het goede verloop van de procedures van het aansluitingscontract kunnen beïnvloeden. </w:t>
      </w:r>
    </w:p>
    <w:p w14:paraId="22E3F96C" w14:textId="77777777" w:rsidR="008F61D1" w:rsidRPr="00E36C3A" w:rsidRDefault="008F61D1" w:rsidP="008F61D1">
      <w:pPr>
        <w:rPr>
          <w:sz w:val="12"/>
          <w:lang w:val="nl-BE"/>
        </w:rPr>
      </w:pPr>
    </w:p>
    <w:p w14:paraId="1EE473F6" w14:textId="77777777" w:rsidR="008F61D1" w:rsidRPr="00E36C3A" w:rsidRDefault="008F61D1" w:rsidP="008F61D1">
      <w:pPr>
        <w:pStyle w:val="Kop1"/>
        <w:keepLines/>
        <w:numPr>
          <w:ilvl w:val="0"/>
          <w:numId w:val="7"/>
        </w:numPr>
        <w:shd w:val="clear" w:color="auto" w:fill="D9D9D9" w:themeFill="background1" w:themeFillShade="D9"/>
        <w:autoSpaceDE/>
        <w:autoSpaceDN/>
        <w:adjustRightInd/>
        <w:spacing w:before="480" w:after="240"/>
        <w:ind w:left="1418" w:hanging="1418"/>
        <w:jc w:val="both"/>
        <w:rPr>
          <w:rFonts w:eastAsiaTheme="majorEastAsia" w:cs="Arial"/>
          <w:b/>
          <w:bCs/>
          <w:i w:val="0"/>
          <w:iCs w:val="0"/>
          <w:sz w:val="16"/>
          <w:szCs w:val="24"/>
          <w:lang w:val="nl-BE"/>
        </w:rPr>
      </w:pPr>
      <w:bookmarkStart w:id="253" w:name="_Ref457921381"/>
      <w:bookmarkStart w:id="254" w:name="_Toc466378870"/>
      <w:r w:rsidRPr="00E36C3A">
        <w:rPr>
          <w:rFonts w:eastAsiaTheme="majorEastAsia" w:cs="Arial"/>
          <w:b/>
          <w:bCs/>
          <w:i w:val="0"/>
          <w:iCs w:val="0"/>
          <w:sz w:val="16"/>
          <w:szCs w:val="24"/>
          <w:lang w:val="nl-BE"/>
        </w:rPr>
        <w:t>Inbreuken</w:t>
      </w:r>
      <w:bookmarkEnd w:id="253"/>
      <w:bookmarkEnd w:id="254"/>
    </w:p>
    <w:p w14:paraId="3D416209" w14:textId="77777777" w:rsidR="008F61D1" w:rsidRPr="00E36C3A" w:rsidRDefault="008F61D1" w:rsidP="008F61D1">
      <w:pPr>
        <w:rPr>
          <w:sz w:val="12"/>
          <w:lang w:val="nl-BE"/>
        </w:rPr>
      </w:pPr>
      <w:r w:rsidRPr="00E36C3A">
        <w:rPr>
          <w:sz w:val="12"/>
          <w:lang w:val="nl-BE"/>
        </w:rPr>
        <w:t xml:space="preserve">Zonder afbreuk te doen aan eventuele specifieke sanctieregelingen in dit Aansluitingscontract, geldt volgende regeling inzake inbreuken van de DNG op en tekortkomingen van de DNG aan verplichtingen opgenomen in het Aansluitingscontract. </w:t>
      </w:r>
    </w:p>
    <w:p w14:paraId="105AB98E" w14:textId="77777777" w:rsidR="008F61D1" w:rsidRPr="00E36C3A" w:rsidRDefault="008F61D1" w:rsidP="008F61D1">
      <w:pPr>
        <w:rPr>
          <w:sz w:val="12"/>
          <w:lang w:val="nl-BE"/>
        </w:rPr>
      </w:pPr>
    </w:p>
    <w:p w14:paraId="038D3E9A" w14:textId="77777777" w:rsidR="008F61D1" w:rsidRPr="00E36C3A" w:rsidRDefault="008F61D1" w:rsidP="008F61D1">
      <w:pPr>
        <w:rPr>
          <w:sz w:val="12"/>
          <w:lang w:val="nl-BE"/>
        </w:rPr>
      </w:pPr>
      <w:r w:rsidRPr="00E36C3A">
        <w:rPr>
          <w:sz w:val="12"/>
          <w:lang w:val="nl-BE"/>
        </w:rPr>
        <w:t xml:space="preserve">Indien de DNB een tekortkoming van de DNG vaststelt ten aanzien van de verplichtingen opgenomen in het Aansluitingscontract, is de DNG verplicht deze te remediëren binnen: </w:t>
      </w:r>
    </w:p>
    <w:p w14:paraId="5CA74E65" w14:textId="77777777" w:rsidR="008F61D1" w:rsidRPr="00E36C3A" w:rsidRDefault="008F61D1" w:rsidP="008F61D1">
      <w:pPr>
        <w:rPr>
          <w:sz w:val="12"/>
          <w:lang w:val="nl-BE"/>
        </w:rPr>
      </w:pPr>
    </w:p>
    <w:p w14:paraId="1977583A" w14:textId="77777777" w:rsidR="008F61D1" w:rsidRPr="00E36C3A" w:rsidRDefault="008F61D1" w:rsidP="008F61D1">
      <w:pPr>
        <w:pStyle w:val="Lijstalinea"/>
        <w:numPr>
          <w:ilvl w:val="0"/>
          <w:numId w:val="6"/>
        </w:numPr>
        <w:adjustRightInd/>
        <w:contextualSpacing w:val="0"/>
        <w:rPr>
          <w:sz w:val="12"/>
          <w:lang w:val="nl-BE"/>
        </w:rPr>
      </w:pPr>
      <w:r w:rsidRPr="00E36C3A">
        <w:rPr>
          <w:sz w:val="12"/>
          <w:lang w:val="nl-BE"/>
        </w:rPr>
        <w:t xml:space="preserve">30 dagen nadat de DNG hiertoe werd opgeroepen en indien de inbreuk in gevolge haar aard binnen deze termijn kan worden geremedieerd; </w:t>
      </w:r>
    </w:p>
    <w:p w14:paraId="12807341" w14:textId="77777777" w:rsidR="008F61D1" w:rsidRPr="00E36C3A" w:rsidRDefault="008F61D1" w:rsidP="008F61D1">
      <w:pPr>
        <w:pStyle w:val="Lijstalinea"/>
        <w:rPr>
          <w:sz w:val="12"/>
          <w:lang w:val="nl-BE"/>
        </w:rPr>
      </w:pPr>
    </w:p>
    <w:p w14:paraId="64D23158" w14:textId="77777777" w:rsidR="008F61D1" w:rsidRPr="00E36C3A" w:rsidRDefault="008F61D1" w:rsidP="008F61D1">
      <w:pPr>
        <w:pStyle w:val="Lijstalinea"/>
        <w:numPr>
          <w:ilvl w:val="0"/>
          <w:numId w:val="6"/>
        </w:numPr>
        <w:adjustRightInd/>
        <w:contextualSpacing w:val="0"/>
        <w:rPr>
          <w:sz w:val="12"/>
          <w:lang w:val="nl-BE"/>
        </w:rPr>
      </w:pPr>
      <w:r w:rsidRPr="00E36C3A">
        <w:rPr>
          <w:sz w:val="12"/>
          <w:lang w:val="nl-BE"/>
        </w:rPr>
        <w:t xml:space="preserve">60 dagen nadat de DNG hiertoe werd opgeroepen, indien deze onmiddellijk na de ontvangst van de ingebrekestelling aangeeft dat de inbreuk in gevolge haar aard niet redelijkerwijs binnen een termijn van 30 dagen kan worden geremedieerd. In dergelijk geval moet de DNG binnen 10 dagen na de ingebrekestelling een volledig plan van aanpak voorleggen en dit te goeder trouw uitvoeren. </w:t>
      </w:r>
    </w:p>
    <w:p w14:paraId="6EBBE7AA" w14:textId="77777777" w:rsidR="008F61D1" w:rsidRPr="00E36C3A" w:rsidRDefault="008F61D1" w:rsidP="008F61D1">
      <w:pPr>
        <w:rPr>
          <w:sz w:val="12"/>
          <w:lang w:val="nl-BE"/>
        </w:rPr>
      </w:pPr>
    </w:p>
    <w:p w14:paraId="39B357C6" w14:textId="77777777" w:rsidR="008F61D1" w:rsidRPr="00E36C3A" w:rsidRDefault="008F61D1" w:rsidP="008F61D1">
      <w:pPr>
        <w:rPr>
          <w:sz w:val="12"/>
          <w:lang w:val="nl-BE"/>
        </w:rPr>
      </w:pPr>
      <w:r w:rsidRPr="00E36C3A">
        <w:rPr>
          <w:sz w:val="12"/>
          <w:lang w:val="nl-BE"/>
        </w:rPr>
        <w:t xml:space="preserve">Indien de DNG de tekortkoming niet geremedieerd heeft binnen deze termijnen of nagelaten heeft, in het tweede hierboven vermelde geval, om een plan voor te leggen of dit plan niet correct uitvoert, kan de DNB een of meerdere van de volgende maatregelen treffen: </w:t>
      </w:r>
    </w:p>
    <w:p w14:paraId="303B19E0" w14:textId="77777777" w:rsidR="008F61D1" w:rsidRPr="00E36C3A" w:rsidRDefault="008F61D1" w:rsidP="008F61D1">
      <w:pPr>
        <w:rPr>
          <w:sz w:val="12"/>
          <w:lang w:val="nl-BE"/>
        </w:rPr>
      </w:pPr>
    </w:p>
    <w:p w14:paraId="665C8322" w14:textId="77777777" w:rsidR="008F61D1" w:rsidRPr="00E36C3A" w:rsidRDefault="008F61D1" w:rsidP="008F61D1">
      <w:pPr>
        <w:pStyle w:val="Lijstalinea"/>
        <w:numPr>
          <w:ilvl w:val="0"/>
          <w:numId w:val="6"/>
        </w:numPr>
        <w:adjustRightInd/>
        <w:contextualSpacing w:val="0"/>
        <w:rPr>
          <w:sz w:val="12"/>
          <w:lang w:val="nl-BE"/>
        </w:rPr>
      </w:pPr>
      <w:r w:rsidRPr="00E36C3A">
        <w:rPr>
          <w:sz w:val="12"/>
          <w:lang w:val="nl-BE"/>
        </w:rPr>
        <w:t>de aanrekening van een vergoeding voor de door de inbreuk veroorzaakte kosten en te leveren prestaties van de DNB (o.a. uitgevoerd onderzoek, gemaakte kosten, nutteloze verplaatsing...);</w:t>
      </w:r>
    </w:p>
    <w:p w14:paraId="061FAA9D" w14:textId="77777777" w:rsidR="008F61D1" w:rsidRPr="00E36C3A" w:rsidRDefault="008F61D1" w:rsidP="008F61D1">
      <w:pPr>
        <w:pStyle w:val="Lijstalinea"/>
        <w:rPr>
          <w:sz w:val="12"/>
          <w:lang w:val="nl-BE"/>
        </w:rPr>
      </w:pPr>
    </w:p>
    <w:p w14:paraId="07E0F4CC" w14:textId="77777777" w:rsidR="008F61D1" w:rsidRPr="00E36C3A" w:rsidRDefault="008F61D1" w:rsidP="008F61D1">
      <w:pPr>
        <w:pStyle w:val="Lijstalinea"/>
        <w:numPr>
          <w:ilvl w:val="0"/>
          <w:numId w:val="6"/>
        </w:numPr>
        <w:adjustRightInd/>
        <w:contextualSpacing w:val="0"/>
        <w:rPr>
          <w:sz w:val="12"/>
          <w:lang w:val="nl-BE"/>
        </w:rPr>
      </w:pPr>
      <w:r w:rsidRPr="00E36C3A">
        <w:rPr>
          <w:sz w:val="12"/>
          <w:lang w:val="nl-BE"/>
        </w:rPr>
        <w:t xml:space="preserve">het opleggen van een wijziging van de Aansluiting en/of  Aansluitingscontract, al dan niet voorafgegaan door een nieuwe aansluitingsstudie op kosten van de DNG; </w:t>
      </w:r>
    </w:p>
    <w:p w14:paraId="5C1BEC95" w14:textId="77777777" w:rsidR="008F61D1" w:rsidRPr="00E36C3A" w:rsidRDefault="008F61D1" w:rsidP="008F61D1">
      <w:pPr>
        <w:pStyle w:val="Lijstalinea"/>
        <w:rPr>
          <w:sz w:val="12"/>
          <w:lang w:val="nl-BE"/>
        </w:rPr>
      </w:pPr>
    </w:p>
    <w:p w14:paraId="364FEBFE" w14:textId="77777777" w:rsidR="008F61D1" w:rsidRPr="00E36C3A" w:rsidRDefault="008F61D1" w:rsidP="008F61D1">
      <w:pPr>
        <w:pStyle w:val="Lijstalinea"/>
        <w:numPr>
          <w:ilvl w:val="0"/>
          <w:numId w:val="6"/>
        </w:numPr>
        <w:adjustRightInd/>
        <w:contextualSpacing w:val="0"/>
        <w:rPr>
          <w:sz w:val="12"/>
          <w:lang w:val="nl-BE"/>
        </w:rPr>
      </w:pPr>
      <w:r w:rsidRPr="00E36C3A">
        <w:rPr>
          <w:sz w:val="12"/>
          <w:lang w:val="nl-BE"/>
        </w:rPr>
        <w:t>het beëindigen van het Aansluitingscontract zonder voorafgaande tussenkomst van de rechtbank ingeval de DNG de hiervoor vermelde wijziging van de Aansluiting en/of het Aansluitingscontract weigert, al naargelang het geval gevolgd door de buitendienststelling van de Aansluiting.</w:t>
      </w:r>
    </w:p>
    <w:p w14:paraId="331D3D46" w14:textId="77777777" w:rsidR="008F61D1" w:rsidRPr="00E36C3A" w:rsidRDefault="008F61D1" w:rsidP="008F61D1">
      <w:pPr>
        <w:rPr>
          <w:sz w:val="12"/>
          <w:lang w:val="nl-BE"/>
        </w:rPr>
      </w:pPr>
    </w:p>
    <w:p w14:paraId="03C483A5" w14:textId="77777777" w:rsidR="008F61D1" w:rsidRPr="00E36C3A" w:rsidRDefault="008F61D1" w:rsidP="008F61D1">
      <w:pPr>
        <w:pStyle w:val="Kop1"/>
        <w:keepLines/>
        <w:numPr>
          <w:ilvl w:val="0"/>
          <w:numId w:val="7"/>
        </w:numPr>
        <w:shd w:val="clear" w:color="auto" w:fill="D9D9D9" w:themeFill="background1" w:themeFillShade="D9"/>
        <w:autoSpaceDE/>
        <w:autoSpaceDN/>
        <w:adjustRightInd/>
        <w:spacing w:before="480" w:after="240"/>
        <w:ind w:left="1418" w:hanging="1418"/>
        <w:jc w:val="both"/>
        <w:rPr>
          <w:rFonts w:eastAsiaTheme="majorEastAsia" w:cs="Arial"/>
          <w:b/>
          <w:bCs/>
          <w:i w:val="0"/>
          <w:iCs w:val="0"/>
          <w:sz w:val="16"/>
          <w:szCs w:val="24"/>
          <w:lang w:val="nl-BE"/>
        </w:rPr>
      </w:pPr>
      <w:bookmarkStart w:id="255" w:name="_Toc422305107"/>
      <w:bookmarkStart w:id="256" w:name="_Toc422305108"/>
      <w:bookmarkStart w:id="257" w:name="_Toc422305109"/>
      <w:bookmarkStart w:id="258" w:name="_Toc422305110"/>
      <w:bookmarkStart w:id="259" w:name="_Toc422305111"/>
      <w:bookmarkStart w:id="260" w:name="_Toc422405322"/>
      <w:bookmarkStart w:id="261" w:name="_Toc425838716"/>
      <w:bookmarkStart w:id="262" w:name="_Toc466378871"/>
      <w:bookmarkEnd w:id="255"/>
      <w:bookmarkEnd w:id="256"/>
      <w:bookmarkEnd w:id="257"/>
      <w:bookmarkEnd w:id="258"/>
      <w:r w:rsidRPr="00E36C3A">
        <w:rPr>
          <w:rFonts w:eastAsiaTheme="majorEastAsia" w:cs="Arial"/>
          <w:b/>
          <w:bCs/>
          <w:i w:val="0"/>
          <w:iCs w:val="0"/>
          <w:sz w:val="16"/>
          <w:szCs w:val="24"/>
          <w:lang w:val="nl-BE"/>
        </w:rPr>
        <w:t>Geschillen en bevoegdheid</w:t>
      </w:r>
      <w:bookmarkEnd w:id="259"/>
      <w:bookmarkEnd w:id="260"/>
      <w:bookmarkEnd w:id="261"/>
      <w:bookmarkEnd w:id="262"/>
    </w:p>
    <w:p w14:paraId="24FB02EC" w14:textId="77777777" w:rsidR="008F61D1" w:rsidRPr="00E36C3A" w:rsidRDefault="008F61D1" w:rsidP="008F61D1">
      <w:pPr>
        <w:rPr>
          <w:sz w:val="12"/>
          <w:lang w:val="nl-BE"/>
        </w:rPr>
      </w:pPr>
      <w:r w:rsidRPr="00E36C3A">
        <w:rPr>
          <w:sz w:val="12"/>
          <w:lang w:val="nl-BE"/>
        </w:rPr>
        <w:t>De DNG kan klacht indienen bij de klachtendienst van de DNB via de website, via het callcenter of het opstarten van een dossier via één van de klantenkantoren van de DNB.</w:t>
      </w:r>
    </w:p>
    <w:p w14:paraId="4CABD121" w14:textId="77777777" w:rsidR="008F61D1" w:rsidRPr="00E36C3A" w:rsidRDefault="008F61D1" w:rsidP="008F61D1">
      <w:pPr>
        <w:rPr>
          <w:sz w:val="12"/>
          <w:lang w:val="nl-BE"/>
        </w:rPr>
      </w:pPr>
    </w:p>
    <w:p w14:paraId="7682BE12" w14:textId="77777777" w:rsidR="008F61D1" w:rsidRPr="00E36C3A" w:rsidRDefault="008F61D1" w:rsidP="008F61D1">
      <w:pPr>
        <w:rPr>
          <w:sz w:val="12"/>
          <w:lang w:val="nl-BE"/>
        </w:rPr>
      </w:pPr>
      <w:r w:rsidRPr="00E36C3A">
        <w:rPr>
          <w:sz w:val="12"/>
          <w:lang w:val="nl-BE"/>
        </w:rPr>
        <w:t>Indien er niet tot een vergelijk gekomen kan worden kan de DNG een geschil schriftelijk ter bemiddeling en beslechting voorleggen aan de VREG.</w:t>
      </w:r>
    </w:p>
    <w:p w14:paraId="10C2A5A3" w14:textId="77777777" w:rsidR="008F61D1" w:rsidRPr="00E36C3A" w:rsidRDefault="008F61D1" w:rsidP="008F61D1">
      <w:pPr>
        <w:rPr>
          <w:sz w:val="12"/>
          <w:lang w:val="nl-BE"/>
        </w:rPr>
      </w:pPr>
    </w:p>
    <w:p w14:paraId="165923AD" w14:textId="77777777" w:rsidR="008F61D1" w:rsidRPr="00E36C3A" w:rsidRDefault="008F61D1" w:rsidP="008F61D1">
      <w:pPr>
        <w:rPr>
          <w:sz w:val="12"/>
          <w:lang w:val="nl-BE"/>
        </w:rPr>
      </w:pPr>
      <w:r w:rsidRPr="00E36C3A">
        <w:rPr>
          <w:sz w:val="12"/>
          <w:lang w:val="nl-BE"/>
        </w:rPr>
        <w:t>Het Belgisch recht is van toepassing op het Aansluitingscontract.</w:t>
      </w:r>
    </w:p>
    <w:p w14:paraId="74BA65EE" w14:textId="77777777" w:rsidR="008F61D1" w:rsidRPr="00E36C3A" w:rsidRDefault="008F61D1" w:rsidP="008F61D1">
      <w:pPr>
        <w:rPr>
          <w:sz w:val="12"/>
          <w:lang w:val="nl-BE"/>
        </w:rPr>
      </w:pPr>
    </w:p>
    <w:p w14:paraId="2DE5639B" w14:textId="77777777" w:rsidR="008F61D1" w:rsidRPr="00E36C3A" w:rsidRDefault="008F61D1" w:rsidP="008F61D1">
      <w:pPr>
        <w:rPr>
          <w:sz w:val="12"/>
          <w:lang w:val="nl-BE"/>
        </w:rPr>
      </w:pPr>
      <w:r w:rsidRPr="00E36C3A">
        <w:rPr>
          <w:sz w:val="12"/>
          <w:lang w:val="nl-BE"/>
        </w:rPr>
        <w:t>Voor geschillen die hun oorsprong vinden in dit Aansluitingscontract, zijn de rechtbanken van het arrondissement waar de DNB zijn zetel heeft, bevoegd.</w:t>
      </w:r>
    </w:p>
    <w:p w14:paraId="542B0CCC" w14:textId="77777777" w:rsidR="008F61D1" w:rsidRPr="00E36C3A" w:rsidRDefault="008F61D1" w:rsidP="008F61D1">
      <w:pPr>
        <w:rPr>
          <w:sz w:val="12"/>
          <w:lang w:val="nl-BE"/>
        </w:rPr>
      </w:pPr>
    </w:p>
    <w:p w14:paraId="1296BFA2" w14:textId="77777777" w:rsidR="008F61D1" w:rsidRPr="00E36C3A" w:rsidRDefault="008F61D1" w:rsidP="008F61D1">
      <w:pPr>
        <w:pStyle w:val="Kop1"/>
        <w:keepLines/>
        <w:numPr>
          <w:ilvl w:val="0"/>
          <w:numId w:val="7"/>
        </w:numPr>
        <w:shd w:val="clear" w:color="auto" w:fill="D9D9D9" w:themeFill="background1" w:themeFillShade="D9"/>
        <w:autoSpaceDE/>
        <w:autoSpaceDN/>
        <w:adjustRightInd/>
        <w:spacing w:before="480" w:after="240"/>
        <w:ind w:left="1418" w:hanging="1418"/>
        <w:jc w:val="both"/>
        <w:rPr>
          <w:rFonts w:eastAsiaTheme="majorEastAsia" w:cs="Arial"/>
          <w:b/>
          <w:bCs/>
          <w:i w:val="0"/>
          <w:iCs w:val="0"/>
          <w:sz w:val="16"/>
          <w:szCs w:val="24"/>
          <w:lang w:val="nl-BE"/>
        </w:rPr>
      </w:pPr>
      <w:bookmarkStart w:id="263" w:name="_Toc422305112"/>
      <w:bookmarkStart w:id="264" w:name="_Toc422405323"/>
      <w:bookmarkStart w:id="265" w:name="_Toc425838717"/>
      <w:bookmarkStart w:id="266" w:name="_Toc466378872"/>
      <w:r w:rsidRPr="00E36C3A">
        <w:rPr>
          <w:rFonts w:eastAsiaTheme="majorEastAsia" w:cs="Arial"/>
          <w:b/>
          <w:bCs/>
          <w:i w:val="0"/>
          <w:iCs w:val="0"/>
          <w:sz w:val="16"/>
          <w:szCs w:val="24"/>
          <w:lang w:val="nl-BE"/>
        </w:rPr>
        <w:t>Slotbepalingen</w:t>
      </w:r>
      <w:bookmarkEnd w:id="263"/>
      <w:bookmarkEnd w:id="264"/>
      <w:bookmarkEnd w:id="265"/>
      <w:bookmarkEnd w:id="266"/>
    </w:p>
    <w:p w14:paraId="3C42754E" w14:textId="77777777" w:rsidR="008F61D1" w:rsidRPr="00E36C3A" w:rsidRDefault="008F61D1" w:rsidP="008F61D1">
      <w:pPr>
        <w:pStyle w:val="Kop2"/>
        <w:keepNext/>
        <w:keepLines/>
        <w:numPr>
          <w:ilvl w:val="1"/>
          <w:numId w:val="7"/>
        </w:numPr>
        <w:autoSpaceDE/>
        <w:autoSpaceDN/>
        <w:adjustRightInd/>
        <w:spacing w:before="200"/>
        <w:ind w:left="567" w:hanging="567"/>
        <w:jc w:val="both"/>
        <w:rPr>
          <w:rFonts w:eastAsiaTheme="majorEastAsia" w:cs="Arial"/>
          <w:sz w:val="14"/>
          <w:szCs w:val="22"/>
          <w:lang w:val="nl-BE"/>
        </w:rPr>
      </w:pPr>
      <w:bookmarkStart w:id="267" w:name="_Toc422305113"/>
      <w:bookmarkStart w:id="268" w:name="_Toc422405324"/>
      <w:bookmarkStart w:id="269" w:name="_Toc425838718"/>
      <w:bookmarkStart w:id="270" w:name="_Toc466378873"/>
      <w:r w:rsidRPr="00E36C3A">
        <w:rPr>
          <w:rFonts w:eastAsiaTheme="majorEastAsia" w:cs="Arial"/>
          <w:sz w:val="14"/>
          <w:szCs w:val="22"/>
          <w:lang w:val="nl-BE"/>
        </w:rPr>
        <w:t>Interpretatie van de gebruikte termen</w:t>
      </w:r>
      <w:bookmarkEnd w:id="267"/>
      <w:bookmarkEnd w:id="268"/>
      <w:bookmarkEnd w:id="269"/>
      <w:bookmarkEnd w:id="270"/>
    </w:p>
    <w:p w14:paraId="5C9B07CD" w14:textId="77777777" w:rsidR="008F61D1" w:rsidRPr="00E36C3A" w:rsidRDefault="008F61D1" w:rsidP="008F61D1">
      <w:pPr>
        <w:rPr>
          <w:sz w:val="12"/>
          <w:lang w:val="nl-BE"/>
        </w:rPr>
      </w:pPr>
      <w:r w:rsidRPr="00E36C3A">
        <w:rPr>
          <w:sz w:val="12"/>
          <w:lang w:val="nl-BE"/>
        </w:rPr>
        <w:t>Tenzij uitdrukkelijk anders vermeld houdt elke verwijzing naar een wet of naar een ander document ook een verwijzing in naar de wijzigingen van of bijlagen bij deze tekst of dit document.</w:t>
      </w:r>
    </w:p>
    <w:p w14:paraId="428734D7" w14:textId="77777777" w:rsidR="008F61D1" w:rsidRPr="00E36C3A" w:rsidRDefault="008F61D1" w:rsidP="008F61D1">
      <w:pPr>
        <w:rPr>
          <w:sz w:val="12"/>
          <w:lang w:val="nl-BE"/>
        </w:rPr>
      </w:pPr>
    </w:p>
    <w:p w14:paraId="5802EF20" w14:textId="77777777" w:rsidR="008F61D1" w:rsidRPr="00E36C3A" w:rsidRDefault="008F61D1" w:rsidP="008F61D1">
      <w:pPr>
        <w:rPr>
          <w:sz w:val="12"/>
          <w:lang w:val="nl-BE"/>
        </w:rPr>
      </w:pPr>
      <w:r w:rsidRPr="00E36C3A">
        <w:rPr>
          <w:sz w:val="12"/>
          <w:lang w:val="nl-BE"/>
        </w:rPr>
        <w:t>Indien een bepaling van deze overeenkomst als ongeldig wordt beschouwd door de wetgeving, regelgeving of door een rechterlijke uitspraak, zal die ongeldigheid de uitvoerbaarheid van enige andere bepaling van deze overeenkomst niet aantasten. De Partijen zullen de ongeldige bepaling vervangen door een geldige bepaling die het dichtst het doel en de strekking van de nietige c.q. vernietigde bepaling ligt, en de intenties der Partijen benadert.</w:t>
      </w:r>
    </w:p>
    <w:p w14:paraId="039C825C" w14:textId="77777777" w:rsidR="008F61D1" w:rsidRPr="00E36C3A" w:rsidRDefault="008F61D1" w:rsidP="008F61D1">
      <w:pPr>
        <w:rPr>
          <w:sz w:val="12"/>
          <w:lang w:val="nl-BE"/>
        </w:rPr>
      </w:pPr>
      <w:bookmarkStart w:id="271" w:name="_Toc425838719"/>
    </w:p>
    <w:p w14:paraId="2641ADD5" w14:textId="77777777" w:rsidR="008F61D1" w:rsidRPr="00E36C3A" w:rsidRDefault="008F61D1" w:rsidP="008F61D1">
      <w:pPr>
        <w:pStyle w:val="Kop2"/>
        <w:keepNext/>
        <w:keepLines/>
        <w:numPr>
          <w:ilvl w:val="1"/>
          <w:numId w:val="7"/>
        </w:numPr>
        <w:autoSpaceDE/>
        <w:autoSpaceDN/>
        <w:adjustRightInd/>
        <w:spacing w:before="200"/>
        <w:ind w:left="567" w:hanging="567"/>
        <w:jc w:val="both"/>
        <w:rPr>
          <w:rFonts w:eastAsiaTheme="majorEastAsia" w:cs="Arial"/>
          <w:sz w:val="14"/>
          <w:szCs w:val="22"/>
          <w:lang w:val="nl-BE"/>
        </w:rPr>
      </w:pPr>
      <w:bookmarkStart w:id="272" w:name="_Toc422305114"/>
      <w:bookmarkStart w:id="273" w:name="_Toc422405325"/>
      <w:bookmarkStart w:id="274" w:name="_Toc466378874"/>
      <w:r w:rsidRPr="00E36C3A">
        <w:rPr>
          <w:rFonts w:eastAsiaTheme="majorEastAsia" w:cs="Arial"/>
          <w:sz w:val="14"/>
          <w:szCs w:val="22"/>
          <w:lang w:val="nl-BE"/>
        </w:rPr>
        <w:lastRenderedPageBreak/>
        <w:t xml:space="preserve">Wijziging en opzegging van </w:t>
      </w:r>
      <w:bookmarkEnd w:id="272"/>
      <w:bookmarkEnd w:id="273"/>
      <w:r w:rsidRPr="00E36C3A">
        <w:rPr>
          <w:rFonts w:eastAsiaTheme="majorEastAsia" w:cs="Arial"/>
          <w:sz w:val="14"/>
          <w:szCs w:val="22"/>
          <w:lang w:val="nl-BE"/>
        </w:rPr>
        <w:t>het Aansluitingscontract en zijn bijlagen</w:t>
      </w:r>
      <w:bookmarkEnd w:id="271"/>
      <w:bookmarkEnd w:id="274"/>
    </w:p>
    <w:p w14:paraId="40B696E0" w14:textId="77777777" w:rsidR="008F61D1" w:rsidRPr="00E36C3A" w:rsidRDefault="008F61D1" w:rsidP="008F61D1">
      <w:pPr>
        <w:rPr>
          <w:rFonts w:cs="Arial"/>
          <w:sz w:val="12"/>
          <w:lang w:val="nl-BE"/>
        </w:rPr>
      </w:pPr>
      <w:r w:rsidRPr="00E36C3A">
        <w:rPr>
          <w:rFonts w:cs="Arial"/>
          <w:sz w:val="12"/>
          <w:lang w:val="nl-BE"/>
        </w:rPr>
        <w:t>Het Aansluitingscontract met inbegrip van elke bijlage kan aangepast worden op initiatief van de DNB, o.m. ingevolge tussenkomst van de VREG, ingevolge aanpassingen aan het Technisch Reglement, ingevolge wijzigingen in de marktomstandigheden of ingevolge wijzigingen aan het wettelijk of reglementair algemeen kader.</w:t>
      </w:r>
    </w:p>
    <w:p w14:paraId="37C6E8B1" w14:textId="77777777" w:rsidR="008F61D1" w:rsidRPr="00E36C3A" w:rsidRDefault="008F61D1" w:rsidP="008F61D1">
      <w:pPr>
        <w:rPr>
          <w:rFonts w:cs="Arial"/>
          <w:sz w:val="12"/>
          <w:lang w:val="nl-BE"/>
        </w:rPr>
      </w:pPr>
    </w:p>
    <w:p w14:paraId="64D9958E" w14:textId="67B7EBE4" w:rsidR="008F61D1" w:rsidRPr="00E36C3A" w:rsidRDefault="008F61D1" w:rsidP="008F61D1">
      <w:pPr>
        <w:rPr>
          <w:rFonts w:cs="Arial"/>
          <w:sz w:val="12"/>
          <w:lang w:val="nl-BE"/>
        </w:rPr>
      </w:pPr>
      <w:r w:rsidRPr="00E36C3A">
        <w:rPr>
          <w:rFonts w:cs="Arial"/>
          <w:sz w:val="12"/>
          <w:lang w:val="nl-BE"/>
        </w:rPr>
        <w:t xml:space="preserve">Het Aansluitingscontract met inbegrip van elke bijlage wordt in ieder geval aangepast ingeval de Aansluiting van de DNG een belangrijke wijziging ondergaat zoals bedoeld in </w:t>
      </w:r>
      <w:r w:rsidRPr="00E36C3A">
        <w:rPr>
          <w:rFonts w:cs="Arial"/>
          <w:sz w:val="12"/>
        </w:rPr>
        <w:fldChar w:fldCharType="begin"/>
      </w:r>
      <w:r w:rsidRPr="00E36C3A">
        <w:rPr>
          <w:rFonts w:cs="Arial"/>
          <w:sz w:val="12"/>
          <w:lang w:val="nl-BE"/>
        </w:rPr>
        <w:instrText xml:space="preserve"> REF _Ref457915186 \r \h </w:instrText>
      </w:r>
      <w:r w:rsidR="00E36C3A" w:rsidRPr="00E36C3A">
        <w:rPr>
          <w:rFonts w:cs="Arial"/>
          <w:sz w:val="12"/>
          <w:lang w:val="nl-BE"/>
        </w:rPr>
        <w:instrText xml:space="preserve"> \* MERGEFORMAT </w:instrText>
      </w:r>
      <w:r w:rsidRPr="00E36C3A">
        <w:rPr>
          <w:rFonts w:cs="Arial"/>
          <w:sz w:val="12"/>
        </w:rPr>
      </w:r>
      <w:r w:rsidRPr="00E36C3A">
        <w:rPr>
          <w:rFonts w:cs="Arial"/>
          <w:sz w:val="12"/>
        </w:rPr>
        <w:fldChar w:fldCharType="separate"/>
      </w:r>
      <w:r w:rsidRPr="00E36C3A">
        <w:rPr>
          <w:rFonts w:cs="Arial"/>
          <w:sz w:val="12"/>
          <w:lang w:val="nl-BE"/>
        </w:rPr>
        <w:t>Artikel 7</w:t>
      </w:r>
      <w:r w:rsidRPr="00E36C3A">
        <w:rPr>
          <w:rFonts w:cs="Arial"/>
          <w:sz w:val="12"/>
        </w:rPr>
        <w:fldChar w:fldCharType="end"/>
      </w:r>
      <w:r w:rsidRPr="00E36C3A">
        <w:rPr>
          <w:rFonts w:cs="Arial"/>
          <w:sz w:val="12"/>
          <w:lang w:val="nl-BE"/>
        </w:rPr>
        <w:t xml:space="preserve"> waarbij het Aansluitingscontract of haar bijlagen niet in overeenstemming zijn met de laatste geldende versies van het Aansluitingscontract of haar bijlagen.</w:t>
      </w:r>
    </w:p>
    <w:p w14:paraId="0A4B5ED4" w14:textId="77777777" w:rsidR="008F61D1" w:rsidRPr="00E36C3A" w:rsidRDefault="008F61D1" w:rsidP="008F61D1">
      <w:pPr>
        <w:rPr>
          <w:rFonts w:cs="Arial"/>
          <w:sz w:val="12"/>
          <w:lang w:val="nl-BE"/>
        </w:rPr>
      </w:pPr>
    </w:p>
    <w:p w14:paraId="08819042" w14:textId="77777777" w:rsidR="008F61D1" w:rsidRPr="00E36C3A" w:rsidRDefault="008F61D1" w:rsidP="008F61D1">
      <w:pPr>
        <w:rPr>
          <w:rFonts w:cs="Arial"/>
          <w:sz w:val="12"/>
          <w:lang w:val="nl-BE"/>
        </w:rPr>
      </w:pPr>
      <w:r w:rsidRPr="00E36C3A">
        <w:rPr>
          <w:rFonts w:cs="Arial"/>
          <w:sz w:val="12"/>
          <w:lang w:val="nl-BE"/>
        </w:rPr>
        <w:t xml:space="preserve">De aangepaste algemene voorwaarden en de desgevallend aangepaste model-bijlagen van dit aansluitingscontract worden, na goedkeuring door de VREG, schriftelijk ter kennis gebracht aan de DNG alsook via de website van de Distributienetbeheerder. Het staat de DNG in dat geval vrij om, binnen een </w:t>
      </w:r>
      <w:r w:rsidRPr="00E36C3A">
        <w:rPr>
          <w:rFonts w:cs="Arial"/>
          <w:sz w:val="12"/>
          <w:lang w:val="nl-BE"/>
        </w:rPr>
        <w:t>termijn van 30 dagen na kennisgeving, het contract per aangetekende brief op te zeggen zonder kosten en zonder dat de DNG hierbij enige aanspraak kan maken op schadevergoeding vanwege de DNB. Indien de DNG het contract niet heeft opgezegd binnen de termijn van 30 dagen na kennisgeving, wordt hij geacht ermee te hebben ingestemd.</w:t>
      </w:r>
    </w:p>
    <w:p w14:paraId="6D87F204" w14:textId="77777777" w:rsidR="008F61D1" w:rsidRPr="00E36C3A" w:rsidRDefault="008F61D1" w:rsidP="008F61D1">
      <w:pPr>
        <w:rPr>
          <w:rFonts w:cs="Arial"/>
          <w:sz w:val="12"/>
          <w:lang w:val="nl-BE"/>
        </w:rPr>
      </w:pPr>
    </w:p>
    <w:p w14:paraId="135C6C95" w14:textId="77777777" w:rsidR="008F61D1" w:rsidRPr="00E36C3A" w:rsidRDefault="008F61D1" w:rsidP="008F61D1">
      <w:pPr>
        <w:rPr>
          <w:rFonts w:cs="Arial"/>
          <w:sz w:val="12"/>
          <w:lang w:val="nl-BE"/>
        </w:rPr>
      </w:pPr>
      <w:r w:rsidRPr="00E36C3A">
        <w:rPr>
          <w:rFonts w:cs="Arial"/>
          <w:sz w:val="12"/>
          <w:lang w:val="nl-BE"/>
        </w:rPr>
        <w:t xml:space="preserve">Op gelijk welk ogenblik, kan de DNG op eigen initiatief overgaan tot opzegging van het aansluitingscontract door middel van verzending van een aangetekende brief, en met een minimale opzegtermijn van drie maand. Indien de DNG blijft gebruik maken van de Aansluiting kan hij de DNB tevens verzoeken om een </w:t>
      </w:r>
      <w:r w:rsidRPr="00E36C3A">
        <w:rPr>
          <w:sz w:val="12"/>
          <w:lang w:val="nl-BE"/>
        </w:rPr>
        <w:t>nieuw aansluitingscontract aan te bieden dat voldoet aan de op dat moment geldende modelbepalingen (voor zover deze verschillen van het bestaande contract van de DNG). De DNB formuleert in dat geval een voorstel overeenkomstig de op dat moment geldende modelbepalingen binnen de zestig dagen na ontvangst van de opzegbrief van de DNG. Bij gebreke aan goedkeuring van dit nieuwe voorstel van de DNB binnen de dertig dagen na de kennisgeving ervan door de DNB blijft het bestaande aansluitingscontract met de DNG onverminderd van kracht.</w:t>
      </w:r>
    </w:p>
    <w:p w14:paraId="5BBE3D9C" w14:textId="77777777" w:rsidR="008F61D1" w:rsidRPr="00E36C3A" w:rsidRDefault="008F61D1" w:rsidP="008F61D1">
      <w:pPr>
        <w:ind w:left="568"/>
        <w:rPr>
          <w:rFonts w:cs="Arial"/>
          <w:sz w:val="12"/>
          <w:lang w:val="nl-BE"/>
        </w:rPr>
      </w:pPr>
    </w:p>
    <w:p w14:paraId="2C4E6D54" w14:textId="77777777" w:rsidR="008F61D1" w:rsidRPr="00E36C3A" w:rsidRDefault="008F61D1" w:rsidP="008F61D1">
      <w:pPr>
        <w:ind w:left="568"/>
        <w:rPr>
          <w:sz w:val="12"/>
          <w:lang w:val="nl-BE"/>
        </w:rPr>
      </w:pPr>
      <w:r w:rsidRPr="00E36C3A">
        <w:rPr>
          <w:sz w:val="12"/>
          <w:lang w:val="nl-BE"/>
        </w:rPr>
        <w:br w:type="page"/>
      </w:r>
    </w:p>
    <w:p w14:paraId="194715F3" w14:textId="77777777" w:rsidR="0094490E" w:rsidRDefault="0094490E" w:rsidP="008F61D1">
      <w:pPr>
        <w:pStyle w:val="Ondertitel"/>
        <w:jc w:val="left"/>
        <w:rPr>
          <w:sz w:val="16"/>
        </w:rPr>
        <w:sectPr w:rsidR="0094490E" w:rsidSect="00E36C3A">
          <w:type w:val="continuous"/>
          <w:pgSz w:w="11906" w:h="16838"/>
          <w:pgMar w:top="1440" w:right="1440" w:bottom="1440" w:left="1440" w:header="708" w:footer="708" w:gutter="0"/>
          <w:cols w:num="2" w:space="708"/>
          <w:docGrid w:linePitch="360"/>
        </w:sectPr>
      </w:pPr>
    </w:p>
    <w:p w14:paraId="57C4F952" w14:textId="68B595F7" w:rsidR="008F61D1" w:rsidRPr="0094490E" w:rsidRDefault="008F61D1" w:rsidP="008F61D1">
      <w:pPr>
        <w:pStyle w:val="Ondertitel"/>
        <w:jc w:val="left"/>
      </w:pPr>
      <w:r w:rsidRPr="0094490E">
        <w:lastRenderedPageBreak/>
        <w:t>Bijlage 1:</w:t>
      </w:r>
    </w:p>
    <w:p w14:paraId="3A9D9568" w14:textId="77777777" w:rsidR="008F61D1" w:rsidRPr="0094490E" w:rsidRDefault="008F61D1" w:rsidP="008F61D1">
      <w:pPr>
        <w:pStyle w:val="Ondertitel"/>
        <w:jc w:val="left"/>
      </w:pPr>
      <w:r w:rsidRPr="0094490E">
        <w:t xml:space="preserve">Bepaling van de forfaitaire schadevergoeding in het kader van het aansluitingscontract aardgas middendruk voor afname van aardgas, met Aansluitingscapaciteit ≥ 300 m³(n)/h </w:t>
      </w:r>
    </w:p>
    <w:p w14:paraId="4A798FB9" w14:textId="77777777" w:rsidR="008F61D1" w:rsidRPr="0094490E" w:rsidRDefault="008F61D1" w:rsidP="008F61D1">
      <w:pPr>
        <w:spacing w:line="240" w:lineRule="atLeast"/>
        <w:rPr>
          <w:rFonts w:cs="Arial"/>
          <w:color w:val="000000"/>
          <w:lang w:val="nl-BE"/>
        </w:rPr>
      </w:pPr>
    </w:p>
    <w:p w14:paraId="348B76FD" w14:textId="77777777" w:rsidR="008F61D1" w:rsidRPr="0094490E" w:rsidRDefault="008F61D1" w:rsidP="008F61D1">
      <w:pPr>
        <w:ind w:left="360" w:hanging="360"/>
        <w:rPr>
          <w:rFonts w:ascii="FDEPLD+Arial" w:hAnsi="FDEPLD+Arial" w:cs="FDEPLD+Arial"/>
          <w:lang w:val="nl-BE" w:eastAsia="nl-BE"/>
        </w:rPr>
      </w:pPr>
      <w:r w:rsidRPr="0094490E">
        <w:rPr>
          <w:rFonts w:ascii="FDEPLD+Arial" w:hAnsi="FDEPLD+Arial" w:cs="FDEPLD+Arial"/>
          <w:lang w:val="nl-BE" w:eastAsia="nl-BE"/>
        </w:rPr>
        <w:t xml:space="preserve">• </w:t>
      </w:r>
      <w:r w:rsidRPr="0094490E">
        <w:rPr>
          <w:rFonts w:ascii="FDEPLD+Arial" w:hAnsi="FDEPLD+Arial" w:cs="FDEPLD+Arial"/>
          <w:lang w:val="nl-BE" w:eastAsia="nl-BE"/>
        </w:rPr>
        <w:tab/>
        <w:t xml:space="preserve">De forfaitaire vergoeding voor de rechtstreekse materiële schade van de Distributienetgebruiker ingevolge een </w:t>
      </w:r>
      <w:r w:rsidRPr="0094490E">
        <w:rPr>
          <w:rFonts w:ascii="FDEPOF+Arial,Bold" w:hAnsi="FDEPOF+Arial,Bold" w:cs="FDEPOF+Arial,Bold"/>
          <w:b/>
          <w:bCs/>
          <w:u w:val="single"/>
          <w:lang w:val="nl-BE" w:eastAsia="nl-BE"/>
        </w:rPr>
        <w:t xml:space="preserve">fout </w:t>
      </w:r>
      <w:r w:rsidRPr="0094490E">
        <w:rPr>
          <w:rFonts w:ascii="FDEPLD+Arial" w:hAnsi="FDEPLD+Arial" w:cs="FDEPLD+Arial"/>
          <w:lang w:val="nl-BE" w:eastAsia="nl-BE"/>
        </w:rPr>
        <w:t xml:space="preserve">van de Distributienetbeheerder wordt als volgt berekend : </w:t>
      </w:r>
    </w:p>
    <w:p w14:paraId="65608606" w14:textId="77777777" w:rsidR="008F61D1" w:rsidRPr="0094490E" w:rsidRDefault="008F61D1" w:rsidP="008F61D1">
      <w:pPr>
        <w:rPr>
          <w:rFonts w:ascii="FDEPLD+Arial" w:hAnsi="FDEPLD+Arial" w:cs="FDEPLD+Arial"/>
          <w:lang w:val="nl-BE" w:eastAsia="nl-BE"/>
        </w:rPr>
      </w:pPr>
    </w:p>
    <w:p w14:paraId="43028446" w14:textId="77777777" w:rsidR="008F61D1" w:rsidRPr="0094490E" w:rsidRDefault="008F61D1" w:rsidP="008F61D1">
      <w:pPr>
        <w:ind w:left="720" w:hanging="360"/>
        <w:rPr>
          <w:rFonts w:ascii="FDEPLD+Arial" w:hAnsi="FDEPLD+Arial" w:cs="FDEPLD+Arial"/>
          <w:lang w:val="nl-BE" w:eastAsia="nl-BE"/>
        </w:rPr>
      </w:pPr>
      <w:r w:rsidRPr="0094490E">
        <w:rPr>
          <w:rFonts w:ascii="FDEPLD+Arial" w:hAnsi="FDEPLD+Arial" w:cs="FDEPLD+Arial"/>
          <w:lang w:val="nl-BE" w:eastAsia="nl-BE"/>
        </w:rPr>
        <w:t xml:space="preserve">a. ingeval er zich bij de fout een </w:t>
      </w:r>
      <w:r w:rsidRPr="0094490E">
        <w:rPr>
          <w:rFonts w:ascii="FDEPLD+Arial" w:hAnsi="FDEPLD+Arial" w:cs="FDEPLD+Arial"/>
          <w:u w:val="single"/>
          <w:lang w:val="nl-BE" w:eastAsia="nl-BE"/>
        </w:rPr>
        <w:t xml:space="preserve">onderbreking van de gastoevoer </w:t>
      </w:r>
      <w:r w:rsidRPr="0094490E">
        <w:rPr>
          <w:rFonts w:ascii="FDEPLD+Arial" w:hAnsi="FDEPLD+Arial" w:cs="FDEPLD+Arial"/>
          <w:lang w:val="nl-BE" w:eastAsia="nl-BE"/>
        </w:rPr>
        <w:t xml:space="preserve">voordoet: </w:t>
      </w:r>
    </w:p>
    <w:p w14:paraId="52994114" w14:textId="77777777" w:rsidR="008F61D1" w:rsidRPr="0094490E" w:rsidRDefault="008F61D1" w:rsidP="008F61D1">
      <w:pPr>
        <w:rPr>
          <w:rFonts w:ascii="FDEPLD+Arial" w:hAnsi="FDEPLD+Arial" w:cs="FDEPLD+Arial"/>
          <w:lang w:val="nl-BE" w:eastAsia="nl-BE"/>
        </w:rPr>
      </w:pPr>
    </w:p>
    <w:p w14:paraId="5C627953" w14:textId="77777777" w:rsidR="008F61D1" w:rsidRPr="0094490E" w:rsidRDefault="008F61D1" w:rsidP="008F61D1">
      <w:pPr>
        <w:ind w:left="342"/>
        <w:rPr>
          <w:rFonts w:ascii="FDEPLD+Arial" w:hAnsi="FDEPLD+Arial" w:cs="FDEPLD+Arial"/>
          <w:lang w:val="nl-BE" w:eastAsia="nl-BE"/>
        </w:rPr>
      </w:pPr>
      <w:r w:rsidRPr="0094490E">
        <w:rPr>
          <w:rFonts w:ascii="FDEPLD+Arial" w:hAnsi="FDEPLD+Arial" w:cs="FDEPLD+Arial"/>
          <w:lang w:val="nl-BE" w:eastAsia="nl-BE"/>
        </w:rPr>
        <w:t>V = a</w:t>
      </w:r>
      <w:r w:rsidRPr="0094490E">
        <w:rPr>
          <w:rFonts w:ascii="FDEPLD+Arial" w:hAnsi="FDEPLD+Arial" w:cs="FDEPLD+Arial"/>
          <w:position w:val="-4"/>
          <w:vertAlign w:val="subscript"/>
          <w:lang w:val="nl-BE" w:eastAsia="nl-BE"/>
        </w:rPr>
        <w:t xml:space="preserve">1 </w:t>
      </w:r>
      <w:r w:rsidRPr="0094490E">
        <w:rPr>
          <w:rFonts w:ascii="FDEPLD+Arial" w:hAnsi="FDEPLD+Arial" w:cs="FDEPLD+Arial"/>
          <w:lang w:val="nl-BE" w:eastAsia="nl-BE"/>
        </w:rPr>
        <w:t xml:space="preserve">x P x t </w:t>
      </w:r>
    </w:p>
    <w:p w14:paraId="48D555EB" w14:textId="77777777" w:rsidR="008F61D1" w:rsidRPr="0094490E" w:rsidRDefault="008F61D1" w:rsidP="008F61D1">
      <w:pPr>
        <w:ind w:left="342"/>
        <w:rPr>
          <w:rFonts w:ascii="FDEPLD+Arial" w:hAnsi="FDEPLD+Arial" w:cs="FDEPLD+Arial"/>
          <w:lang w:val="nl-BE" w:eastAsia="nl-BE"/>
        </w:rPr>
      </w:pPr>
    </w:p>
    <w:p w14:paraId="3B4E005F" w14:textId="77777777" w:rsidR="008F61D1" w:rsidRPr="0094490E" w:rsidRDefault="008F61D1" w:rsidP="008F61D1">
      <w:pPr>
        <w:ind w:left="342"/>
        <w:rPr>
          <w:rFonts w:ascii="FDEPOF+Arial,Bold" w:hAnsi="FDEPOF+Arial,Bold" w:cs="FDEPOF+Arial,Bold"/>
          <w:lang w:val="nl-BE" w:eastAsia="nl-BE"/>
        </w:rPr>
      </w:pPr>
      <w:r w:rsidRPr="0094490E">
        <w:rPr>
          <w:rFonts w:ascii="FDEPLD+Arial" w:hAnsi="FDEPLD+Arial" w:cs="FDEPLD+Arial"/>
          <w:lang w:val="nl-BE" w:eastAsia="nl-BE"/>
        </w:rPr>
        <w:t xml:space="preserve">waarbij: </w:t>
      </w:r>
      <w:r w:rsidRPr="0094490E">
        <w:rPr>
          <w:rFonts w:ascii="FDEPLD+Arial" w:hAnsi="FDEPLD+Arial" w:cs="FDEPLD+Arial"/>
          <w:lang w:val="nl-BE" w:eastAsia="nl-BE"/>
        </w:rPr>
        <w:tab/>
      </w:r>
      <w:r w:rsidRPr="0094490E">
        <w:rPr>
          <w:rFonts w:ascii="FDEPLD+Arial" w:hAnsi="FDEPLD+Arial" w:cs="FDEPLD+Arial"/>
          <w:lang w:val="nl-BE" w:eastAsia="nl-BE"/>
        </w:rPr>
        <w:tab/>
        <w:t xml:space="preserve">V = vergoeding, in € </w:t>
      </w:r>
      <w:r w:rsidRPr="0094490E">
        <w:rPr>
          <w:rFonts w:ascii="FDEPOF+Arial,Bold" w:hAnsi="FDEPOF+Arial,Bold" w:cs="FDEPOF+Arial,Bold"/>
          <w:b/>
          <w:bCs/>
          <w:lang w:val="nl-BE" w:eastAsia="nl-BE"/>
        </w:rPr>
        <w:t>(V</w:t>
      </w:r>
      <w:r w:rsidRPr="0094490E">
        <w:rPr>
          <w:rFonts w:ascii="FDEPOF+Arial,Bold" w:hAnsi="FDEPOF+Arial,Bold" w:cs="FDEPOF+Arial,Bold"/>
          <w:b/>
          <w:bCs/>
          <w:position w:val="-4"/>
          <w:vertAlign w:val="subscript"/>
          <w:lang w:val="nl-BE" w:eastAsia="nl-BE"/>
        </w:rPr>
        <w:t xml:space="preserve">max </w:t>
      </w:r>
      <w:r w:rsidRPr="0094490E">
        <w:rPr>
          <w:rFonts w:ascii="FDEPOF+Arial,Bold" w:hAnsi="FDEPOF+Arial,Bold" w:cs="FDEPOF+Arial,Bold"/>
          <w:b/>
          <w:bCs/>
          <w:lang w:val="nl-BE" w:eastAsia="nl-BE"/>
        </w:rPr>
        <w:t xml:space="preserve">= € 625.000,00) </w:t>
      </w:r>
    </w:p>
    <w:p w14:paraId="3A711AD9" w14:textId="77777777" w:rsidR="008F61D1" w:rsidRPr="0094490E" w:rsidRDefault="008F61D1" w:rsidP="008F61D1">
      <w:pPr>
        <w:ind w:left="1782" w:firstLine="378"/>
        <w:rPr>
          <w:rFonts w:ascii="FDEPLD+Arial" w:hAnsi="FDEPLD+Arial" w:cs="FDEPLD+Arial"/>
          <w:lang w:val="nl-BE" w:eastAsia="nl-BE"/>
        </w:rPr>
      </w:pPr>
      <w:r w:rsidRPr="0094490E">
        <w:rPr>
          <w:rFonts w:ascii="FDEPLD+Arial" w:hAnsi="FDEPLD+Arial" w:cs="FDEPLD+Arial"/>
          <w:lang w:val="nl-BE" w:eastAsia="nl-BE"/>
        </w:rPr>
        <w:t>a</w:t>
      </w:r>
      <w:r w:rsidRPr="0094490E">
        <w:rPr>
          <w:rFonts w:ascii="FDEPLD+Arial" w:hAnsi="FDEPLD+Arial" w:cs="FDEPLD+Arial"/>
          <w:position w:val="-4"/>
          <w:vertAlign w:val="subscript"/>
          <w:lang w:val="nl-BE" w:eastAsia="nl-BE"/>
        </w:rPr>
        <w:t xml:space="preserve">1 </w:t>
      </w:r>
      <w:r w:rsidRPr="0094490E">
        <w:rPr>
          <w:rFonts w:ascii="FDEPLD+Arial" w:hAnsi="FDEPLD+Arial" w:cs="FDEPLD+Arial"/>
          <w:lang w:val="nl-BE" w:eastAsia="nl-BE"/>
        </w:rPr>
        <w:t xml:space="preserve">= vergoedingscoëfficiënt = 0,40 €/kWh </w:t>
      </w:r>
    </w:p>
    <w:p w14:paraId="201FC49C" w14:textId="77777777" w:rsidR="008F61D1" w:rsidRPr="0094490E" w:rsidRDefault="008F61D1" w:rsidP="008F61D1">
      <w:pPr>
        <w:ind w:left="1782" w:firstLine="378"/>
        <w:rPr>
          <w:rFonts w:ascii="FDEPLD+Arial" w:hAnsi="FDEPLD+Arial" w:cs="FDEPLD+Arial"/>
          <w:lang w:val="nl-BE" w:eastAsia="nl-BE"/>
        </w:rPr>
      </w:pPr>
      <w:r w:rsidRPr="0094490E">
        <w:rPr>
          <w:rFonts w:ascii="FDEPLD+Arial" w:hAnsi="FDEPLD+Arial" w:cs="FDEPLD+Arial"/>
          <w:lang w:val="nl-BE" w:eastAsia="nl-BE"/>
        </w:rPr>
        <w:t xml:space="preserve">P = indien </w:t>
      </w:r>
      <w:proofErr w:type="spellStart"/>
      <w:r w:rsidRPr="0094490E">
        <w:rPr>
          <w:rFonts w:ascii="FDEPLD+Arial" w:hAnsi="FDEPLD+Arial" w:cs="FDEPLD+Arial"/>
          <w:lang w:val="nl-BE" w:eastAsia="nl-BE"/>
        </w:rPr>
        <w:t>uurgemeten</w:t>
      </w:r>
      <w:proofErr w:type="spellEnd"/>
      <w:r w:rsidRPr="0094490E">
        <w:rPr>
          <w:rFonts w:ascii="FDEPLD+Arial" w:hAnsi="FDEPLD+Arial" w:cs="FDEPLD+Arial"/>
          <w:lang w:val="nl-BE" w:eastAsia="nl-BE"/>
        </w:rPr>
        <w:t xml:space="preserve">: gemeten </w:t>
      </w:r>
      <w:proofErr w:type="spellStart"/>
      <w:r w:rsidRPr="0094490E">
        <w:rPr>
          <w:rFonts w:ascii="FDEPLD+Arial" w:hAnsi="FDEPLD+Arial" w:cs="FDEPLD+Arial"/>
          <w:lang w:val="nl-BE" w:eastAsia="nl-BE"/>
        </w:rPr>
        <w:t>uurpiek</w:t>
      </w:r>
      <w:proofErr w:type="spellEnd"/>
      <w:r w:rsidRPr="0094490E">
        <w:rPr>
          <w:rFonts w:ascii="FDEPLD+Arial" w:hAnsi="FDEPLD+Arial" w:cs="FDEPLD+Arial"/>
          <w:lang w:val="nl-BE" w:eastAsia="nl-BE"/>
        </w:rPr>
        <w:t xml:space="preserve"> in kW gedurende het laatste jaar </w:t>
      </w:r>
    </w:p>
    <w:p w14:paraId="7DC65CF9" w14:textId="77777777" w:rsidR="008F61D1" w:rsidRPr="0094490E" w:rsidRDefault="008F61D1" w:rsidP="008F61D1">
      <w:pPr>
        <w:ind w:left="1746" w:firstLine="414"/>
        <w:rPr>
          <w:rFonts w:ascii="FDEPLD+Arial" w:hAnsi="FDEPLD+Arial" w:cs="FDEPLD+Arial"/>
          <w:lang w:val="nl-BE" w:eastAsia="nl-BE"/>
        </w:rPr>
      </w:pPr>
      <w:r w:rsidRPr="0094490E">
        <w:rPr>
          <w:rFonts w:ascii="FDEPLD+Arial" w:hAnsi="FDEPLD+Arial" w:cs="FDEPLD+Arial"/>
          <w:lang w:val="nl-BE" w:eastAsia="nl-BE"/>
        </w:rPr>
        <w:t>indien SLP: P = Standaardjaarverbruik/omrekeningsfactor</w:t>
      </w:r>
    </w:p>
    <w:p w14:paraId="3DE9C786" w14:textId="77777777" w:rsidR="008F61D1" w:rsidRPr="0094490E" w:rsidRDefault="008F61D1" w:rsidP="008F61D1">
      <w:pPr>
        <w:ind w:left="1782" w:firstLine="378"/>
        <w:rPr>
          <w:rFonts w:ascii="FDEPLD+Arial" w:hAnsi="FDEPLD+Arial" w:cs="FDEPLD+Arial"/>
          <w:lang w:val="nl-BE" w:eastAsia="nl-BE"/>
        </w:rPr>
      </w:pPr>
    </w:p>
    <w:p w14:paraId="4C983E50" w14:textId="77777777" w:rsidR="008F61D1" w:rsidRPr="0094490E" w:rsidRDefault="008F61D1" w:rsidP="008F61D1">
      <w:pPr>
        <w:ind w:left="1782" w:firstLine="378"/>
        <w:rPr>
          <w:rFonts w:ascii="FDEPOF+Arial,Bold" w:hAnsi="FDEPOF+Arial,Bold" w:cs="FDEPOF+Arial,Bold"/>
          <w:b/>
          <w:bCs/>
          <w:lang w:val="nl-BE" w:eastAsia="nl-BE"/>
        </w:rPr>
      </w:pPr>
      <w:r w:rsidRPr="0094490E">
        <w:rPr>
          <w:rFonts w:ascii="FDEPLD+Arial" w:hAnsi="FDEPLD+Arial" w:cs="FDEPLD+Arial"/>
          <w:lang w:val="nl-BE" w:eastAsia="nl-BE"/>
        </w:rPr>
        <w:t xml:space="preserve">t = aantal uren onderbreking, in h </w:t>
      </w:r>
      <w:r w:rsidRPr="0094490E">
        <w:rPr>
          <w:rFonts w:ascii="FDEPOF+Arial,Bold" w:hAnsi="FDEPOF+Arial,Bold" w:cs="FDEPOF+Arial,Bold"/>
          <w:b/>
          <w:bCs/>
          <w:lang w:val="nl-BE" w:eastAsia="nl-BE"/>
        </w:rPr>
        <w:t xml:space="preserve">(t </w:t>
      </w:r>
      <w:r w:rsidRPr="0094490E">
        <w:rPr>
          <w:rFonts w:cs="Arial"/>
          <w:b/>
          <w:bCs/>
          <w:lang w:val="nl-BE" w:eastAsia="nl-BE"/>
        </w:rPr>
        <w:t xml:space="preserve">≥ </w:t>
      </w:r>
      <w:r w:rsidRPr="0094490E">
        <w:rPr>
          <w:rFonts w:ascii="FDEPOF+Arial,Bold" w:hAnsi="FDEPOF+Arial,Bold" w:cs="FDEPOF+Arial,Bold"/>
          <w:b/>
          <w:bCs/>
          <w:lang w:val="nl-BE" w:eastAsia="nl-BE"/>
        </w:rPr>
        <w:t xml:space="preserve">1 uur) </w:t>
      </w:r>
    </w:p>
    <w:p w14:paraId="079B6CB7" w14:textId="77777777" w:rsidR="008F61D1" w:rsidRPr="0094490E" w:rsidRDefault="008F61D1" w:rsidP="008F61D1">
      <w:pPr>
        <w:ind w:left="1782" w:firstLine="378"/>
        <w:rPr>
          <w:rFonts w:ascii="FDEPOF+Arial,Bold" w:hAnsi="FDEPOF+Arial,Bold" w:cs="FDEPOF+Arial,Bold"/>
          <w:b/>
          <w:bCs/>
          <w:lang w:val="nl-BE" w:eastAsia="nl-BE"/>
        </w:rPr>
      </w:pPr>
      <w:r w:rsidRPr="0094490E">
        <w:rPr>
          <w:rFonts w:ascii="FDEPOF+Arial,Bold" w:hAnsi="FDEPOF+Arial,Bold" w:cs="FDEPOF+Arial,Bold"/>
          <w:b/>
          <w:bCs/>
          <w:lang w:val="nl-BE" w:eastAsia="nl-BE"/>
        </w:rPr>
        <w:tab/>
      </w:r>
    </w:p>
    <w:p w14:paraId="70A6604D" w14:textId="77777777" w:rsidR="008F61D1" w:rsidRPr="0094490E" w:rsidRDefault="008F61D1" w:rsidP="008F61D1">
      <w:pPr>
        <w:ind w:left="1782" w:firstLine="378"/>
        <w:rPr>
          <w:rFonts w:ascii="FDEPOF+Arial,Bold" w:hAnsi="FDEPOF+Arial,Bold" w:cs="FDEPOF+Arial,Bold"/>
          <w:bCs/>
          <w:i/>
          <w:u w:val="single"/>
          <w:lang w:eastAsia="nl-BE"/>
        </w:rPr>
      </w:pPr>
      <w:proofErr w:type="spellStart"/>
      <w:r w:rsidRPr="0094490E">
        <w:rPr>
          <w:rFonts w:ascii="FDEPOF+Arial,Bold" w:hAnsi="FDEPOF+Arial,Bold" w:cs="FDEPOF+Arial,Bold"/>
          <w:bCs/>
          <w:i/>
          <w:u w:val="single"/>
          <w:lang w:eastAsia="nl-BE"/>
        </w:rPr>
        <w:t>omrekeningsfactor</w:t>
      </w:r>
      <w:proofErr w:type="spellEnd"/>
      <w:r w:rsidRPr="0094490E">
        <w:rPr>
          <w:rFonts w:ascii="FDEPOF+Arial,Bold" w:hAnsi="FDEPOF+Arial,Bold" w:cs="FDEPOF+Arial,Bold"/>
          <w:bCs/>
          <w:i/>
          <w:u w:val="single"/>
          <w:lang w:eastAsia="nl-BE"/>
        </w:rPr>
        <w:t>:</w:t>
      </w:r>
    </w:p>
    <w:p w14:paraId="39C9502D" w14:textId="77777777" w:rsidR="008F61D1" w:rsidRPr="0094490E" w:rsidRDefault="008F61D1" w:rsidP="008F61D1">
      <w:pPr>
        <w:pStyle w:val="Lijstalinea"/>
        <w:numPr>
          <w:ilvl w:val="3"/>
          <w:numId w:val="1"/>
        </w:numPr>
        <w:jc w:val="both"/>
        <w:rPr>
          <w:rFonts w:ascii="FDEPOF+Arial,Bold" w:hAnsi="FDEPOF+Arial,Bold" w:cs="FDEPOF+Arial,Bold"/>
          <w:bCs/>
          <w:lang w:val="nl-BE" w:eastAsia="nl-BE"/>
        </w:rPr>
      </w:pPr>
      <w:r w:rsidRPr="0094490E">
        <w:rPr>
          <w:rFonts w:ascii="FDEPOF+Arial,Bold" w:hAnsi="FDEPOF+Arial,Bold" w:cs="FDEPOF+Arial,Bold"/>
          <w:bCs/>
          <w:lang w:val="nl-BE" w:eastAsia="nl-BE"/>
        </w:rPr>
        <w:t xml:space="preserve">voor productie of productie/warmte = </w:t>
      </w:r>
      <w:r w:rsidRPr="0094490E">
        <w:rPr>
          <w:rFonts w:ascii="FDEPOF+Arial,Bold" w:hAnsi="FDEPOF+Arial,Bold" w:cs="FDEPOF+Arial,Bold"/>
          <w:b/>
          <w:bCs/>
          <w:lang w:val="nl-BE" w:eastAsia="nl-BE"/>
        </w:rPr>
        <w:t>4600</w:t>
      </w:r>
      <w:r w:rsidRPr="0094490E">
        <w:rPr>
          <w:rFonts w:ascii="FDEPOF+Arial,Bold" w:hAnsi="FDEPOF+Arial,Bold" w:cs="FDEPOF+Arial,Bold"/>
          <w:bCs/>
          <w:lang w:val="nl-BE" w:eastAsia="nl-BE"/>
        </w:rPr>
        <w:t xml:space="preserve"> (aantal dagen gasverbruik: 230 en aantal uren verbruik per dag: 20u </w:t>
      </w:r>
      <w:r w:rsidRPr="0094490E">
        <w:rPr>
          <w:rFonts w:ascii="FDEPOF+Arial,Bold" w:hAnsi="FDEPOF+Arial,Bold" w:cs="FDEPOF+Arial,Bold"/>
          <w:bCs/>
          <w:lang w:eastAsia="nl-BE"/>
        </w:rPr>
        <w:sym w:font="Wingdings" w:char="F0E0"/>
      </w:r>
      <w:r w:rsidRPr="0094490E">
        <w:rPr>
          <w:rFonts w:ascii="FDEPOF+Arial,Bold" w:hAnsi="FDEPOF+Arial,Bold" w:cs="FDEPOF+Arial,Bold"/>
          <w:bCs/>
          <w:lang w:val="nl-BE" w:eastAsia="nl-BE"/>
        </w:rPr>
        <w:t xml:space="preserve"> = 230*20</w:t>
      </w:r>
    </w:p>
    <w:p w14:paraId="7B159EE4" w14:textId="77777777" w:rsidR="008F61D1" w:rsidRPr="0094490E" w:rsidRDefault="008F61D1" w:rsidP="008F61D1">
      <w:pPr>
        <w:pStyle w:val="Lijstalinea"/>
        <w:numPr>
          <w:ilvl w:val="3"/>
          <w:numId w:val="1"/>
        </w:numPr>
        <w:jc w:val="both"/>
        <w:rPr>
          <w:rFonts w:ascii="FDEPOF+Arial,Bold" w:hAnsi="FDEPOF+Arial,Bold" w:cs="FDEPOF+Arial,Bold"/>
          <w:bCs/>
          <w:lang w:val="nl-BE" w:eastAsia="nl-BE"/>
        </w:rPr>
      </w:pPr>
      <w:r w:rsidRPr="0094490E">
        <w:rPr>
          <w:rFonts w:ascii="FDEPOF+Arial,Bold" w:hAnsi="FDEPOF+Arial,Bold" w:cs="FDEPOF+Arial,Bold"/>
          <w:bCs/>
          <w:lang w:val="nl-BE" w:eastAsia="nl-BE"/>
        </w:rPr>
        <w:t xml:space="preserve">voor warmte = </w:t>
      </w:r>
      <w:r w:rsidRPr="0094490E">
        <w:rPr>
          <w:rFonts w:ascii="FDEPOF+Arial,Bold" w:hAnsi="FDEPOF+Arial,Bold" w:cs="FDEPOF+Arial,Bold"/>
          <w:b/>
          <w:bCs/>
          <w:lang w:val="nl-BE" w:eastAsia="nl-BE"/>
        </w:rPr>
        <w:t>2400</w:t>
      </w:r>
      <w:r w:rsidRPr="0094490E">
        <w:rPr>
          <w:rFonts w:ascii="FDEPOF+Arial,Bold" w:hAnsi="FDEPOF+Arial,Bold" w:cs="FDEPOF+Arial,Bold"/>
          <w:bCs/>
          <w:lang w:val="nl-BE" w:eastAsia="nl-BE"/>
        </w:rPr>
        <w:t xml:space="preserve"> (aantal dagen gasverbruik: 150 en aantal uren verbruik per dag: 16u </w:t>
      </w:r>
      <w:r w:rsidRPr="0094490E">
        <w:rPr>
          <w:rFonts w:ascii="FDEPOF+Arial,Bold" w:hAnsi="FDEPOF+Arial,Bold" w:cs="FDEPOF+Arial,Bold"/>
          <w:bCs/>
          <w:lang w:eastAsia="nl-BE"/>
        </w:rPr>
        <w:sym w:font="Wingdings" w:char="F0E0"/>
      </w:r>
      <w:r w:rsidRPr="0094490E">
        <w:rPr>
          <w:rFonts w:ascii="FDEPOF+Arial,Bold" w:hAnsi="FDEPOF+Arial,Bold" w:cs="FDEPOF+Arial,Bold"/>
          <w:bCs/>
          <w:lang w:val="nl-BE" w:eastAsia="nl-BE"/>
        </w:rPr>
        <w:t xml:space="preserve"> = 150*16</w:t>
      </w:r>
    </w:p>
    <w:p w14:paraId="077D9B26" w14:textId="77777777" w:rsidR="008F61D1" w:rsidRPr="0094490E" w:rsidRDefault="008F61D1" w:rsidP="008F61D1">
      <w:pPr>
        <w:ind w:left="1782" w:firstLine="378"/>
        <w:rPr>
          <w:rFonts w:ascii="FDEPOF+Arial,Bold" w:hAnsi="FDEPOF+Arial,Bold" w:cs="FDEPOF+Arial,Bold"/>
          <w:b/>
          <w:bCs/>
          <w:lang w:val="nl-BE" w:eastAsia="nl-BE"/>
        </w:rPr>
      </w:pPr>
      <w:r w:rsidRPr="0094490E">
        <w:rPr>
          <w:rFonts w:ascii="FDEPOF+Arial,Bold" w:hAnsi="FDEPOF+Arial,Bold" w:cs="FDEPOF+Arial,Bold"/>
          <w:b/>
          <w:bCs/>
          <w:lang w:val="nl-BE" w:eastAsia="nl-BE"/>
        </w:rPr>
        <w:tab/>
      </w:r>
    </w:p>
    <w:p w14:paraId="78B5C044" w14:textId="77777777" w:rsidR="008F61D1" w:rsidRPr="0094490E" w:rsidRDefault="008F61D1" w:rsidP="008F61D1">
      <w:pPr>
        <w:ind w:left="1782" w:firstLine="378"/>
        <w:rPr>
          <w:rFonts w:ascii="FDEPOF+Arial,Bold" w:hAnsi="FDEPOF+Arial,Bold" w:cs="FDEPOF+Arial,Bold"/>
          <w:lang w:val="nl-BE" w:eastAsia="nl-BE"/>
        </w:rPr>
      </w:pPr>
    </w:p>
    <w:p w14:paraId="6F9DEB22" w14:textId="77777777" w:rsidR="008F61D1" w:rsidRPr="0094490E" w:rsidRDefault="008F61D1" w:rsidP="008F61D1">
      <w:pPr>
        <w:ind w:left="720" w:hanging="360"/>
        <w:rPr>
          <w:rFonts w:ascii="FDEPLD+Arial" w:hAnsi="FDEPLD+Arial" w:cs="FDEPLD+Arial"/>
          <w:lang w:val="nl-BE" w:eastAsia="nl-BE"/>
        </w:rPr>
      </w:pPr>
      <w:r w:rsidRPr="0094490E">
        <w:rPr>
          <w:rFonts w:ascii="FDEPLD+Arial" w:hAnsi="FDEPLD+Arial" w:cs="FDEPLD+Arial"/>
          <w:lang w:val="nl-BE" w:eastAsia="nl-BE"/>
        </w:rPr>
        <w:t xml:space="preserve">b. ingeval er zich bij de fout </w:t>
      </w:r>
      <w:r w:rsidRPr="0094490E">
        <w:rPr>
          <w:rFonts w:ascii="FDEPLD+Arial" w:hAnsi="FDEPLD+Arial" w:cs="FDEPLD+Arial"/>
          <w:u w:val="single"/>
          <w:lang w:val="nl-BE" w:eastAsia="nl-BE"/>
        </w:rPr>
        <w:t xml:space="preserve">geen onderbreking van de gastoevoer </w:t>
      </w:r>
      <w:r w:rsidRPr="0094490E">
        <w:rPr>
          <w:rFonts w:ascii="FDEPLD+Arial" w:hAnsi="FDEPLD+Arial" w:cs="FDEPLD+Arial"/>
          <w:lang w:val="nl-BE" w:eastAsia="nl-BE"/>
        </w:rPr>
        <w:t xml:space="preserve">voordoet: </w:t>
      </w:r>
    </w:p>
    <w:p w14:paraId="18527010" w14:textId="77777777" w:rsidR="008F61D1" w:rsidRPr="0094490E" w:rsidRDefault="008F61D1" w:rsidP="008F61D1">
      <w:pPr>
        <w:rPr>
          <w:rFonts w:ascii="FDEPLD+Arial" w:hAnsi="FDEPLD+Arial" w:cs="FDEPLD+Arial"/>
          <w:lang w:val="nl-BE" w:eastAsia="nl-BE"/>
        </w:rPr>
      </w:pPr>
    </w:p>
    <w:p w14:paraId="2DA1E144" w14:textId="77777777" w:rsidR="008F61D1" w:rsidRPr="0094490E" w:rsidRDefault="008F61D1" w:rsidP="008F61D1">
      <w:pPr>
        <w:ind w:left="398"/>
        <w:rPr>
          <w:rFonts w:ascii="FDEPLD+Arial" w:hAnsi="FDEPLD+Arial" w:cs="FDEPLD+Arial"/>
          <w:lang w:val="nl-BE" w:eastAsia="nl-BE"/>
        </w:rPr>
      </w:pPr>
      <w:r w:rsidRPr="0094490E">
        <w:rPr>
          <w:rFonts w:ascii="FDEPLD+Arial" w:hAnsi="FDEPLD+Arial" w:cs="FDEPLD+Arial"/>
          <w:lang w:val="nl-BE" w:eastAsia="nl-BE"/>
        </w:rPr>
        <w:t>V = a</w:t>
      </w:r>
      <w:r w:rsidRPr="0094490E">
        <w:rPr>
          <w:rFonts w:ascii="FDEPLD+Arial" w:hAnsi="FDEPLD+Arial" w:cs="FDEPLD+Arial"/>
          <w:position w:val="-4"/>
          <w:vertAlign w:val="subscript"/>
          <w:lang w:val="nl-BE" w:eastAsia="nl-BE"/>
        </w:rPr>
        <w:t xml:space="preserve">2 </w:t>
      </w:r>
      <w:r w:rsidRPr="0094490E">
        <w:rPr>
          <w:rFonts w:ascii="FDEPLD+Arial" w:hAnsi="FDEPLD+Arial" w:cs="FDEPLD+Arial"/>
          <w:lang w:val="nl-BE" w:eastAsia="nl-BE"/>
        </w:rPr>
        <w:t xml:space="preserve">x P </w:t>
      </w:r>
    </w:p>
    <w:p w14:paraId="364BC42C" w14:textId="77777777" w:rsidR="008F61D1" w:rsidRPr="0094490E" w:rsidRDefault="008F61D1" w:rsidP="008F61D1">
      <w:pPr>
        <w:ind w:left="398"/>
        <w:rPr>
          <w:rFonts w:ascii="FDEPLD+Arial" w:hAnsi="FDEPLD+Arial" w:cs="FDEPLD+Arial"/>
          <w:lang w:val="nl-BE" w:eastAsia="nl-BE"/>
        </w:rPr>
      </w:pPr>
    </w:p>
    <w:p w14:paraId="13B196FE" w14:textId="77777777" w:rsidR="008F61D1" w:rsidRPr="0094490E" w:rsidRDefault="008F61D1" w:rsidP="008F61D1">
      <w:pPr>
        <w:ind w:left="398"/>
        <w:rPr>
          <w:rFonts w:ascii="FDEPOF+Arial,Bold" w:hAnsi="FDEPOF+Arial,Bold" w:cs="FDEPOF+Arial,Bold"/>
          <w:lang w:val="nl-BE" w:eastAsia="nl-BE"/>
        </w:rPr>
      </w:pPr>
      <w:r w:rsidRPr="0094490E">
        <w:rPr>
          <w:rFonts w:ascii="FDEPLD+Arial" w:hAnsi="FDEPLD+Arial" w:cs="FDEPLD+Arial"/>
          <w:lang w:val="nl-BE" w:eastAsia="nl-BE"/>
        </w:rPr>
        <w:t xml:space="preserve">Waarbij: </w:t>
      </w:r>
      <w:r w:rsidRPr="0094490E">
        <w:rPr>
          <w:rFonts w:ascii="FDEPLD+Arial" w:hAnsi="FDEPLD+Arial" w:cs="FDEPLD+Arial"/>
          <w:lang w:val="nl-BE" w:eastAsia="nl-BE"/>
        </w:rPr>
        <w:tab/>
      </w:r>
      <w:r w:rsidRPr="0094490E">
        <w:rPr>
          <w:rFonts w:ascii="FDEPLD+Arial" w:hAnsi="FDEPLD+Arial" w:cs="FDEPLD+Arial"/>
          <w:lang w:val="nl-BE" w:eastAsia="nl-BE"/>
        </w:rPr>
        <w:tab/>
        <w:t xml:space="preserve">V = vergoeding, in € </w:t>
      </w:r>
      <w:r w:rsidRPr="0094490E">
        <w:rPr>
          <w:rFonts w:ascii="FDEPOF+Arial,Bold" w:hAnsi="FDEPOF+Arial,Bold" w:cs="FDEPOF+Arial,Bold"/>
          <w:b/>
          <w:bCs/>
          <w:lang w:val="nl-BE" w:eastAsia="nl-BE"/>
        </w:rPr>
        <w:t>(V</w:t>
      </w:r>
      <w:r w:rsidRPr="0094490E">
        <w:rPr>
          <w:rFonts w:ascii="FDEPOF+Arial,Bold" w:hAnsi="FDEPOF+Arial,Bold" w:cs="FDEPOF+Arial,Bold"/>
          <w:b/>
          <w:bCs/>
          <w:position w:val="-4"/>
          <w:vertAlign w:val="subscript"/>
          <w:lang w:val="nl-BE" w:eastAsia="nl-BE"/>
        </w:rPr>
        <w:t xml:space="preserve">min </w:t>
      </w:r>
      <w:r w:rsidRPr="0094490E">
        <w:rPr>
          <w:rFonts w:ascii="FDEPOF+Arial,Bold" w:hAnsi="FDEPOF+Arial,Bold" w:cs="FDEPOF+Arial,Bold"/>
          <w:b/>
          <w:bCs/>
          <w:lang w:val="nl-BE" w:eastAsia="nl-BE"/>
        </w:rPr>
        <w:t>= € 250,00 en V</w:t>
      </w:r>
      <w:r w:rsidRPr="0094490E">
        <w:rPr>
          <w:rFonts w:ascii="FDEPOF+Arial,Bold" w:hAnsi="FDEPOF+Arial,Bold" w:cs="FDEPOF+Arial,Bold"/>
          <w:b/>
          <w:bCs/>
          <w:position w:val="-4"/>
          <w:vertAlign w:val="subscript"/>
          <w:lang w:val="nl-BE" w:eastAsia="nl-BE"/>
        </w:rPr>
        <w:t xml:space="preserve">max </w:t>
      </w:r>
      <w:r w:rsidRPr="0094490E">
        <w:rPr>
          <w:rFonts w:ascii="FDEPOF+Arial,Bold" w:hAnsi="FDEPOF+Arial,Bold" w:cs="FDEPOF+Arial,Bold"/>
          <w:b/>
          <w:bCs/>
          <w:lang w:val="nl-BE" w:eastAsia="nl-BE"/>
        </w:rPr>
        <w:t xml:space="preserve">= € 625.000,00) </w:t>
      </w:r>
    </w:p>
    <w:p w14:paraId="1EFA3AEF" w14:textId="77777777" w:rsidR="008F61D1" w:rsidRPr="0094490E" w:rsidRDefault="008F61D1" w:rsidP="008F61D1">
      <w:pPr>
        <w:ind w:left="1838" w:firstLine="322"/>
        <w:rPr>
          <w:rFonts w:ascii="FDEPLD+Arial" w:hAnsi="FDEPLD+Arial" w:cs="FDEPLD+Arial"/>
          <w:lang w:val="nl-BE" w:eastAsia="nl-BE"/>
        </w:rPr>
      </w:pPr>
      <w:r w:rsidRPr="0094490E">
        <w:rPr>
          <w:rFonts w:ascii="FDEPLD+Arial" w:hAnsi="FDEPLD+Arial" w:cs="FDEPLD+Arial"/>
          <w:lang w:val="nl-BE" w:eastAsia="nl-BE"/>
        </w:rPr>
        <w:t>a</w:t>
      </w:r>
      <w:r w:rsidRPr="0094490E">
        <w:rPr>
          <w:rFonts w:ascii="FDEPLD+Arial" w:hAnsi="FDEPLD+Arial" w:cs="FDEPLD+Arial"/>
          <w:position w:val="-4"/>
          <w:vertAlign w:val="subscript"/>
          <w:lang w:val="nl-BE" w:eastAsia="nl-BE"/>
        </w:rPr>
        <w:t xml:space="preserve">2 </w:t>
      </w:r>
      <w:r w:rsidRPr="0094490E">
        <w:rPr>
          <w:rFonts w:ascii="FDEPLD+Arial" w:hAnsi="FDEPLD+Arial" w:cs="FDEPLD+Arial"/>
          <w:lang w:val="nl-BE" w:eastAsia="nl-BE"/>
        </w:rPr>
        <w:t xml:space="preserve">= vergoedingscoëfficiënt = 0,80 €/kW </w:t>
      </w:r>
    </w:p>
    <w:p w14:paraId="00B3A032" w14:textId="77777777" w:rsidR="008F61D1" w:rsidRPr="0094490E" w:rsidRDefault="008F61D1" w:rsidP="008F61D1">
      <w:pPr>
        <w:ind w:left="1516" w:firstLine="644"/>
        <w:rPr>
          <w:rFonts w:ascii="FDEPLD+Arial" w:hAnsi="FDEPLD+Arial" w:cs="FDEPLD+Arial"/>
          <w:lang w:val="nl-BE" w:eastAsia="nl-BE"/>
        </w:rPr>
      </w:pPr>
      <w:r w:rsidRPr="0094490E">
        <w:rPr>
          <w:rFonts w:ascii="FDEPLD+Arial" w:hAnsi="FDEPLD+Arial" w:cs="FDEPLD+Arial"/>
          <w:lang w:val="nl-BE" w:eastAsia="nl-BE"/>
        </w:rPr>
        <w:t xml:space="preserve">P = indien </w:t>
      </w:r>
      <w:proofErr w:type="spellStart"/>
      <w:r w:rsidRPr="0094490E">
        <w:rPr>
          <w:rFonts w:ascii="FDEPLD+Arial" w:hAnsi="FDEPLD+Arial" w:cs="FDEPLD+Arial"/>
          <w:lang w:val="nl-BE" w:eastAsia="nl-BE"/>
        </w:rPr>
        <w:t>uurgemeten</w:t>
      </w:r>
      <w:proofErr w:type="spellEnd"/>
      <w:r w:rsidRPr="0094490E">
        <w:rPr>
          <w:rFonts w:ascii="FDEPLD+Arial" w:hAnsi="FDEPLD+Arial" w:cs="FDEPLD+Arial"/>
          <w:lang w:val="nl-BE" w:eastAsia="nl-BE"/>
        </w:rPr>
        <w:t xml:space="preserve">: gemeten </w:t>
      </w:r>
      <w:proofErr w:type="spellStart"/>
      <w:r w:rsidRPr="0094490E">
        <w:rPr>
          <w:rFonts w:ascii="FDEPLD+Arial" w:hAnsi="FDEPLD+Arial" w:cs="FDEPLD+Arial"/>
          <w:lang w:val="nl-BE" w:eastAsia="nl-BE"/>
        </w:rPr>
        <w:t>uurpiek</w:t>
      </w:r>
      <w:proofErr w:type="spellEnd"/>
      <w:r w:rsidRPr="0094490E">
        <w:rPr>
          <w:rFonts w:ascii="FDEPLD+Arial" w:hAnsi="FDEPLD+Arial" w:cs="FDEPLD+Arial"/>
          <w:lang w:val="nl-BE" w:eastAsia="nl-BE"/>
        </w:rPr>
        <w:t xml:space="preserve"> in kW gedurende het laatste jaar </w:t>
      </w:r>
    </w:p>
    <w:p w14:paraId="06154894" w14:textId="77777777" w:rsidR="008F61D1" w:rsidRPr="0094490E" w:rsidRDefault="008F61D1" w:rsidP="008F61D1">
      <w:pPr>
        <w:ind w:left="1746" w:firstLine="414"/>
        <w:rPr>
          <w:rFonts w:ascii="FDEPLD+Arial" w:hAnsi="FDEPLD+Arial" w:cs="FDEPLD+Arial"/>
          <w:lang w:val="nl-BE" w:eastAsia="nl-BE"/>
        </w:rPr>
      </w:pPr>
      <w:r w:rsidRPr="0094490E">
        <w:rPr>
          <w:rFonts w:ascii="FDEPLD+Arial" w:hAnsi="FDEPLD+Arial" w:cs="FDEPLD+Arial"/>
          <w:lang w:val="nl-BE" w:eastAsia="nl-BE"/>
        </w:rPr>
        <w:t>indien SLP: P = Standaardjaarverbruik/omrekeningsfactor</w:t>
      </w:r>
    </w:p>
    <w:p w14:paraId="798E01E5" w14:textId="77777777" w:rsidR="008F61D1" w:rsidRPr="0094490E" w:rsidRDefault="008F61D1" w:rsidP="008F61D1">
      <w:pPr>
        <w:rPr>
          <w:rFonts w:ascii="FDEPOF+Arial,Bold" w:hAnsi="FDEPOF+Arial,Bold" w:cs="FDEPOF+Arial,Bold"/>
          <w:b/>
          <w:bCs/>
          <w:lang w:val="nl-BE" w:eastAsia="nl-BE"/>
        </w:rPr>
      </w:pPr>
    </w:p>
    <w:p w14:paraId="57EBB95D" w14:textId="77777777" w:rsidR="008F61D1" w:rsidRPr="0094490E" w:rsidRDefault="008F61D1" w:rsidP="008F61D1">
      <w:pPr>
        <w:ind w:left="1782" w:firstLine="378"/>
        <w:rPr>
          <w:rFonts w:ascii="FDEPOF+Arial,Bold" w:hAnsi="FDEPOF+Arial,Bold" w:cs="FDEPOF+Arial,Bold"/>
          <w:bCs/>
          <w:i/>
          <w:u w:val="single"/>
          <w:lang w:val="nl-BE" w:eastAsia="nl-BE"/>
        </w:rPr>
      </w:pPr>
      <w:r w:rsidRPr="0094490E">
        <w:rPr>
          <w:rFonts w:ascii="FDEPOF+Arial,Bold" w:hAnsi="FDEPOF+Arial,Bold" w:cs="FDEPOF+Arial,Bold"/>
          <w:bCs/>
          <w:i/>
          <w:u w:val="single"/>
          <w:lang w:val="nl-BE" w:eastAsia="nl-BE"/>
        </w:rPr>
        <w:t>omrekeningsfactor:</w:t>
      </w:r>
    </w:p>
    <w:p w14:paraId="09331974" w14:textId="77777777" w:rsidR="008F61D1" w:rsidRPr="0094490E" w:rsidRDefault="008F61D1" w:rsidP="008F61D1">
      <w:pPr>
        <w:pStyle w:val="Lijstalinea"/>
        <w:numPr>
          <w:ilvl w:val="0"/>
          <w:numId w:val="10"/>
        </w:numPr>
        <w:jc w:val="both"/>
        <w:rPr>
          <w:rFonts w:ascii="FDEPOF+Arial,Bold" w:hAnsi="FDEPOF+Arial,Bold" w:cs="FDEPOF+Arial,Bold"/>
          <w:bCs/>
          <w:lang w:val="nl-BE" w:eastAsia="nl-BE"/>
        </w:rPr>
      </w:pPr>
      <w:r w:rsidRPr="0094490E">
        <w:rPr>
          <w:rFonts w:ascii="FDEPOF+Arial,Bold" w:hAnsi="FDEPOF+Arial,Bold" w:cs="FDEPOF+Arial,Bold"/>
          <w:bCs/>
          <w:lang w:val="nl-BE" w:eastAsia="nl-BE"/>
        </w:rPr>
        <w:t xml:space="preserve">voor productie of productie/warmte = </w:t>
      </w:r>
      <w:r w:rsidRPr="0094490E">
        <w:rPr>
          <w:rFonts w:ascii="FDEPOF+Arial,Bold" w:hAnsi="FDEPOF+Arial,Bold" w:cs="FDEPOF+Arial,Bold"/>
          <w:b/>
          <w:bCs/>
          <w:lang w:val="nl-BE" w:eastAsia="nl-BE"/>
        </w:rPr>
        <w:t>4600</w:t>
      </w:r>
      <w:r w:rsidRPr="0094490E">
        <w:rPr>
          <w:rFonts w:ascii="FDEPOF+Arial,Bold" w:hAnsi="FDEPOF+Arial,Bold" w:cs="FDEPOF+Arial,Bold"/>
          <w:bCs/>
          <w:lang w:val="nl-BE" w:eastAsia="nl-BE"/>
        </w:rPr>
        <w:t xml:space="preserve"> (aantal dagen gasverbruik: 230 en aantal uren verbruik per dag: 20u </w:t>
      </w:r>
      <w:r w:rsidRPr="0094490E">
        <w:rPr>
          <w:rFonts w:ascii="FDEPOF+Arial,Bold" w:hAnsi="FDEPOF+Arial,Bold" w:cs="FDEPOF+Arial,Bold"/>
          <w:bCs/>
          <w:lang w:eastAsia="nl-BE"/>
        </w:rPr>
        <w:sym w:font="Wingdings" w:char="F0E0"/>
      </w:r>
      <w:r w:rsidRPr="0094490E">
        <w:rPr>
          <w:rFonts w:ascii="FDEPOF+Arial,Bold" w:hAnsi="FDEPOF+Arial,Bold" w:cs="FDEPOF+Arial,Bold"/>
          <w:bCs/>
          <w:lang w:val="nl-BE" w:eastAsia="nl-BE"/>
        </w:rPr>
        <w:t xml:space="preserve"> = 230*20</w:t>
      </w:r>
    </w:p>
    <w:p w14:paraId="08642380" w14:textId="77777777" w:rsidR="008F61D1" w:rsidRPr="0094490E" w:rsidRDefault="008F61D1" w:rsidP="008F61D1">
      <w:pPr>
        <w:pStyle w:val="Lijstalinea"/>
        <w:numPr>
          <w:ilvl w:val="0"/>
          <w:numId w:val="10"/>
        </w:numPr>
        <w:jc w:val="both"/>
        <w:rPr>
          <w:rFonts w:ascii="FDEPOF+Arial,Bold" w:hAnsi="FDEPOF+Arial,Bold" w:cs="FDEPOF+Arial,Bold"/>
          <w:bCs/>
          <w:lang w:val="nl-BE" w:eastAsia="nl-BE"/>
        </w:rPr>
      </w:pPr>
      <w:r w:rsidRPr="0094490E">
        <w:rPr>
          <w:rFonts w:ascii="FDEPOF+Arial,Bold" w:hAnsi="FDEPOF+Arial,Bold" w:cs="FDEPOF+Arial,Bold"/>
          <w:bCs/>
          <w:lang w:val="nl-BE" w:eastAsia="nl-BE"/>
        </w:rPr>
        <w:t xml:space="preserve">voor warmte = </w:t>
      </w:r>
      <w:r w:rsidRPr="0094490E">
        <w:rPr>
          <w:rFonts w:ascii="FDEPOF+Arial,Bold" w:hAnsi="FDEPOF+Arial,Bold" w:cs="FDEPOF+Arial,Bold"/>
          <w:b/>
          <w:bCs/>
          <w:lang w:val="nl-BE" w:eastAsia="nl-BE"/>
        </w:rPr>
        <w:t>2400</w:t>
      </w:r>
      <w:r w:rsidRPr="0094490E">
        <w:rPr>
          <w:rFonts w:ascii="FDEPOF+Arial,Bold" w:hAnsi="FDEPOF+Arial,Bold" w:cs="FDEPOF+Arial,Bold"/>
          <w:bCs/>
          <w:lang w:val="nl-BE" w:eastAsia="nl-BE"/>
        </w:rPr>
        <w:t xml:space="preserve"> (aantal dagen gasverbruik: 150 en aantal uren verbruik per dag: 16u </w:t>
      </w:r>
      <w:r w:rsidRPr="0094490E">
        <w:rPr>
          <w:rFonts w:ascii="FDEPOF+Arial,Bold" w:hAnsi="FDEPOF+Arial,Bold" w:cs="FDEPOF+Arial,Bold"/>
          <w:bCs/>
          <w:lang w:eastAsia="nl-BE"/>
        </w:rPr>
        <w:sym w:font="Wingdings" w:char="F0E0"/>
      </w:r>
      <w:r w:rsidRPr="0094490E">
        <w:rPr>
          <w:rFonts w:ascii="FDEPOF+Arial,Bold" w:hAnsi="FDEPOF+Arial,Bold" w:cs="FDEPOF+Arial,Bold"/>
          <w:bCs/>
          <w:lang w:val="nl-BE" w:eastAsia="nl-BE"/>
        </w:rPr>
        <w:t xml:space="preserve"> = 150*16</w:t>
      </w:r>
    </w:p>
    <w:p w14:paraId="04B2AD5C" w14:textId="77777777" w:rsidR="008F61D1" w:rsidRPr="0094490E" w:rsidRDefault="008F61D1" w:rsidP="008F61D1">
      <w:pPr>
        <w:rPr>
          <w:lang w:val="nl-BE"/>
        </w:rPr>
      </w:pPr>
    </w:p>
    <w:p w14:paraId="55B15D51" w14:textId="77777777" w:rsidR="008F61D1" w:rsidRPr="0094490E" w:rsidRDefault="008F61D1" w:rsidP="008F61D1">
      <w:pPr>
        <w:rPr>
          <w:lang w:val="nl-BE"/>
        </w:rPr>
      </w:pPr>
    </w:p>
    <w:p w14:paraId="73EECC2E" w14:textId="206D2D08" w:rsidR="008F61D1" w:rsidRPr="0094490E" w:rsidRDefault="008F61D1" w:rsidP="00F23797">
      <w:pPr>
        <w:tabs>
          <w:tab w:val="left" w:pos="4820"/>
          <w:tab w:val="right" w:leader="underscore" w:pos="8789"/>
        </w:tabs>
        <w:rPr>
          <w:lang w:val="nl-BE"/>
        </w:rPr>
      </w:pPr>
    </w:p>
    <w:sectPr w:rsidR="008F61D1" w:rsidRPr="0094490E" w:rsidSect="0094490E">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88EB6" w14:textId="77777777" w:rsidR="006B023E" w:rsidRDefault="006B023E">
      <w:r>
        <w:separator/>
      </w:r>
    </w:p>
  </w:endnote>
  <w:endnote w:type="continuationSeparator" w:id="0">
    <w:p w14:paraId="2171CD81" w14:textId="77777777" w:rsidR="006B023E" w:rsidRDefault="006B0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FBAPGL+Arial">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BAPIO+Arial,Bold">
    <w:altName w:val="Arial"/>
    <w:panose1 w:val="00000000000000000000"/>
    <w:charset w:val="00"/>
    <w:family w:val="swiss"/>
    <w:notTrueType/>
    <w:pitch w:val="default"/>
    <w:sig w:usb0="00000003" w:usb1="00000000" w:usb2="00000000" w:usb3="00000000" w:csb0="00000001" w:csb1="00000000"/>
  </w:font>
  <w:font w:name="FBAPHN+TimesNewRoman">
    <w:altName w:val="Times New Roman"/>
    <w:panose1 w:val="00000000000000000000"/>
    <w:charset w:val="00"/>
    <w:family w:val="roman"/>
    <w:notTrueType/>
    <w:pitch w:val="default"/>
    <w:sig w:usb0="00000003" w:usb1="00000000" w:usb2="00000000" w:usb3="00000000" w:csb0="00000001" w:csb1="00000000"/>
  </w:font>
  <w:font w:name="FDEPLD+Arial">
    <w:altName w:val="Arial"/>
    <w:panose1 w:val="00000000000000000000"/>
    <w:charset w:val="00"/>
    <w:family w:val="swiss"/>
    <w:notTrueType/>
    <w:pitch w:val="default"/>
    <w:sig w:usb0="00000003" w:usb1="00000000" w:usb2="00000000" w:usb3="00000000" w:csb0="00000001" w:csb1="00000000"/>
  </w:font>
  <w:font w:name="FDEPOF+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39207" w14:textId="77777777" w:rsidR="006B023E" w:rsidRDefault="006B023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w:t>
    </w:r>
    <w:r>
      <w:rPr>
        <w:rStyle w:val="Paginanummer"/>
      </w:rPr>
      <w:fldChar w:fldCharType="end"/>
    </w:r>
  </w:p>
  <w:p w14:paraId="58660177" w14:textId="77777777" w:rsidR="006B023E" w:rsidRDefault="006B023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DD2C2" w14:textId="4AF71B4A" w:rsidR="006B023E" w:rsidRDefault="006B023E" w:rsidP="00756920">
    <w:pPr>
      <w:pStyle w:val="Voettekst"/>
      <w:tabs>
        <w:tab w:val="clear" w:pos="4320"/>
        <w:tab w:val="clear" w:pos="8640"/>
        <w:tab w:val="center" w:pos="3261"/>
        <w:tab w:val="center" w:pos="4503"/>
        <w:tab w:val="right" w:pos="8789"/>
      </w:tabs>
      <w:ind w:right="-2"/>
      <w:jc w:val="center"/>
      <w:rPr>
        <w:sz w:val="16"/>
        <w:lang w:val="nl-NL"/>
      </w:rPr>
    </w:pPr>
    <w:r>
      <w:rPr>
        <w:lang w:val="nl-NL"/>
      </w:rPr>
      <w:t xml:space="preserve">            Aansluitingscontract Aardgas Middendruk: EAN </w:t>
    </w:r>
    <w:r>
      <w:rPr>
        <w:color w:val="548DD4" w:themeColor="text2" w:themeTint="99"/>
        <w:lang w:val="nl-BE"/>
      </w:rPr>
      <w:fldChar w:fldCharType="begin"/>
    </w:r>
    <w:r>
      <w:rPr>
        <w:color w:val="548DD4" w:themeColor="text2" w:themeTint="99"/>
        <w:lang w:val="nl-BE"/>
      </w:rPr>
      <w:instrText xml:space="preserve"> MERGEFIELD  EAN1 </w:instrText>
    </w:r>
    <w:r>
      <w:rPr>
        <w:color w:val="548DD4" w:themeColor="text2" w:themeTint="99"/>
        <w:lang w:val="nl-BE"/>
      </w:rPr>
      <w:fldChar w:fldCharType="separate"/>
    </w:r>
    <w:r>
      <w:rPr>
        <w:noProof/>
        <w:color w:val="548DD4" w:themeColor="text2" w:themeTint="99"/>
        <w:lang w:val="nl-BE"/>
      </w:rPr>
      <w:t>«EAN1»</w:t>
    </w:r>
    <w:r>
      <w:rPr>
        <w:color w:val="548DD4" w:themeColor="text2" w:themeTint="99"/>
        <w:lang w:val="nl-BE"/>
      </w:rPr>
      <w:fldChar w:fldCharType="end"/>
    </w:r>
    <w:r>
      <w:rPr>
        <w:color w:val="548DD4" w:themeColor="text2" w:themeTint="99"/>
        <w:lang w:val="nl-BE"/>
      </w:rPr>
      <w:t xml:space="preserve">                          </w:t>
    </w:r>
    <w:r w:rsidRPr="00316BF7">
      <w:rPr>
        <w:noProof/>
        <w:color w:val="548DD4" w:themeColor="text2" w:themeTint="99"/>
      </w:rPr>
      <w:drawing>
        <wp:inline distT="0" distB="0" distL="0" distR="0" wp14:anchorId="4C375015" wp14:editId="010809ED">
          <wp:extent cx="1055467" cy="302939"/>
          <wp:effectExtent l="0" t="0" r="0" b="1905"/>
          <wp:docPr id="2" name="Afbeelding 6">
            <a:extLst xmlns:a="http://schemas.openxmlformats.org/drawingml/2006/main">
              <a:ext uri="{FF2B5EF4-FFF2-40B4-BE49-F238E27FC236}">
                <a16:creationId xmlns:a16="http://schemas.microsoft.com/office/drawing/2014/main" id="{2C151A68-A737-4F69-BAFE-31C5096FB85C}"/>
              </a:ext>
            </a:extLst>
          </wp:docPr>
          <wp:cNvGraphicFramePr/>
          <a:graphic xmlns:a="http://schemas.openxmlformats.org/drawingml/2006/main">
            <a:graphicData uri="http://schemas.openxmlformats.org/drawingml/2006/picture">
              <pic:pic xmlns:pic="http://schemas.openxmlformats.org/drawingml/2006/picture">
                <pic:nvPicPr>
                  <pic:cNvPr id="7" name="Afbeelding 6">
                    <a:extLst>
                      <a:ext uri="{FF2B5EF4-FFF2-40B4-BE49-F238E27FC236}">
                        <a16:creationId xmlns:a16="http://schemas.microsoft.com/office/drawing/2014/main" id="{2C151A68-A737-4F69-BAFE-31C5096FB85C}"/>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55467" cy="302939"/>
                  </a:xfrm>
                  <a:prstGeom prst="rect">
                    <a:avLst/>
                  </a:prstGeom>
                </pic:spPr>
              </pic:pic>
            </a:graphicData>
          </a:graphic>
        </wp:inline>
      </w:drawing>
    </w:r>
    <w:r>
      <w:rPr>
        <w:lang w:val="nl-NL"/>
      </w:rPr>
      <w:tab/>
    </w:r>
    <w:r>
      <w:rPr>
        <w:rFonts w:cs="Arial"/>
        <w:sz w:val="16"/>
        <w:lang w:val="nl-NL"/>
      </w:rPr>
      <w:tab/>
    </w:r>
    <w:r>
      <w:rPr>
        <w:rFonts w:cs="Arial"/>
        <w:sz w:val="16"/>
        <w:lang w:val="nl-NL"/>
      </w:rPr>
      <w:tab/>
    </w:r>
    <w:r>
      <w:rPr>
        <w:rFonts w:cs="Arial"/>
        <w:sz w:val="16"/>
        <w:lang w:val="nl-NL"/>
      </w:rPr>
      <w:tab/>
    </w:r>
    <w:r>
      <w:rPr>
        <w:rStyle w:val="Paginanummer"/>
        <w:sz w:val="16"/>
      </w:rPr>
      <w:fldChar w:fldCharType="begin"/>
    </w:r>
    <w:r>
      <w:rPr>
        <w:rStyle w:val="Paginanummer"/>
        <w:sz w:val="16"/>
      </w:rPr>
      <w:instrText xml:space="preserve"> PAGE </w:instrText>
    </w:r>
    <w:r>
      <w:rPr>
        <w:rStyle w:val="Paginanummer"/>
        <w:sz w:val="16"/>
      </w:rPr>
      <w:fldChar w:fldCharType="separate"/>
    </w:r>
    <w:r>
      <w:rPr>
        <w:rStyle w:val="Paginanummer"/>
        <w:noProof/>
        <w:sz w:val="16"/>
      </w:rPr>
      <w:t>2</w:t>
    </w:r>
    <w:r>
      <w:rPr>
        <w:rStyle w:val="Paginanumme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11D1E" w14:textId="77777777" w:rsidR="006B023E" w:rsidRDefault="006B023E">
    <w:pPr>
      <w:pStyle w:val="Voettekst"/>
      <w:rPr>
        <w:lang w:val="nl-BE"/>
      </w:rPr>
    </w:pPr>
    <w:r>
      <w:rPr>
        <w:lang w:val="nl-BE"/>
      </w:rPr>
      <w:t>Logo</w:t>
    </w:r>
    <w:r>
      <w:rPr>
        <w:lang w:val="nl-BE"/>
      </w:rPr>
      <w:tab/>
      <w:t>datum in voege trede</w:t>
    </w:r>
    <w:r>
      <w:rPr>
        <w:lang w:val="nl-BE"/>
      </w:rPr>
      <w:tab/>
    </w: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D42AC" w14:textId="77777777" w:rsidR="006B023E" w:rsidRDefault="006B023E" w:rsidP="007135E2">
    <w:pPr>
      <w:pStyle w:val="Voettekst"/>
      <w:rPr>
        <w:color w:val="A6A6A6" w:themeColor="background1" w:themeShade="A6"/>
        <w:sz w:val="16"/>
      </w:rPr>
    </w:pPr>
  </w:p>
  <w:p w14:paraId="21739B00" w14:textId="77777777" w:rsidR="006B023E" w:rsidRPr="008F61D1" w:rsidRDefault="006B023E" w:rsidP="007135E2">
    <w:pPr>
      <w:pStyle w:val="Voettekst"/>
      <w:rPr>
        <w:color w:val="A6A6A6" w:themeColor="background1" w:themeShade="A6"/>
        <w:sz w:val="16"/>
        <w:lang w:val="nl-BE"/>
      </w:rPr>
    </w:pPr>
    <w:r w:rsidRPr="008F61D1">
      <w:rPr>
        <w:color w:val="A6A6A6" w:themeColor="background1" w:themeShade="A6"/>
        <w:sz w:val="16"/>
        <w:lang w:val="nl-BE"/>
      </w:rPr>
      <w:t xml:space="preserve">Bijlage   bij Aansluitingscontract Aardgas – Middendruk voor afname van aardgas met Aansluitingscapaciteit </w:t>
    </w:r>
    <w:r w:rsidRPr="008F61D1">
      <w:rPr>
        <w:rFonts w:cs="Arial"/>
        <w:color w:val="A6A6A6" w:themeColor="background1" w:themeShade="A6"/>
        <w:sz w:val="16"/>
        <w:lang w:val="nl-BE"/>
      </w:rPr>
      <w:t>≥</w:t>
    </w:r>
    <w:r w:rsidRPr="008F61D1">
      <w:rPr>
        <w:color w:val="A6A6A6" w:themeColor="background1" w:themeShade="A6"/>
        <w:sz w:val="16"/>
        <w:lang w:val="nl-BE"/>
      </w:rPr>
      <w:t xml:space="preserve"> 300 m³(n)/h: </w:t>
    </w:r>
  </w:p>
  <w:p w14:paraId="6B0E12A8" w14:textId="1992266F" w:rsidR="006B023E" w:rsidRPr="008F61D1" w:rsidRDefault="006B023E" w:rsidP="007135E2">
    <w:pPr>
      <w:pStyle w:val="Voettekst"/>
      <w:rPr>
        <w:color w:val="A6A6A6" w:themeColor="background1" w:themeShade="A6"/>
        <w:sz w:val="16"/>
        <w:lang w:val="nl-BE"/>
      </w:rPr>
    </w:pPr>
    <w:r w:rsidRPr="008F61D1">
      <w:rPr>
        <w:color w:val="A6A6A6" w:themeColor="background1" w:themeShade="A6"/>
        <w:sz w:val="16"/>
        <w:lang w:val="nl-BE"/>
      </w:rPr>
      <w:t xml:space="preserve">Algemene voorwaarden betreffende de Aansluitingen op het Aardgasdistributienet Middendruk voor afname van aardgas met Aansluitingscapaciteit ≥&gt; 300m3(n)/h zoals goedgekeurd in de bestuursorganen van de DNB op </w:t>
    </w:r>
    <w:r>
      <w:rPr>
        <w:color w:val="A6A6A6" w:themeColor="background1" w:themeShade="A6"/>
        <w:sz w:val="16"/>
        <w:lang w:val="nl-BE"/>
      </w:rPr>
      <w:t>06/12/2016</w:t>
    </w:r>
    <w:r w:rsidRPr="008F61D1">
      <w:rPr>
        <w:color w:val="A6A6A6" w:themeColor="background1" w:themeShade="A6"/>
        <w:sz w:val="16"/>
        <w:lang w:val="nl-BE"/>
      </w:rPr>
      <w:tab/>
    </w:r>
    <w:r w:rsidRPr="008F61D1">
      <w:rPr>
        <w:color w:val="A6A6A6" w:themeColor="background1" w:themeShade="A6"/>
        <w:sz w:val="16"/>
        <w:lang w:val="nl-BE"/>
      </w:rPr>
      <w:tab/>
    </w:r>
    <w:r w:rsidRPr="00E20836">
      <w:rPr>
        <w:color w:val="A6A6A6" w:themeColor="background1" w:themeShade="A6"/>
        <w:sz w:val="16"/>
      </w:rPr>
      <w:fldChar w:fldCharType="begin"/>
    </w:r>
    <w:r w:rsidRPr="008F61D1">
      <w:rPr>
        <w:color w:val="A6A6A6" w:themeColor="background1" w:themeShade="A6"/>
        <w:sz w:val="16"/>
        <w:lang w:val="nl-BE"/>
      </w:rPr>
      <w:instrText xml:space="preserve"> PAGE  \* Arabic  \* MERGEFORMAT </w:instrText>
    </w:r>
    <w:r w:rsidRPr="00E20836">
      <w:rPr>
        <w:color w:val="A6A6A6" w:themeColor="background1" w:themeShade="A6"/>
        <w:sz w:val="16"/>
      </w:rPr>
      <w:fldChar w:fldCharType="separate"/>
    </w:r>
    <w:r>
      <w:rPr>
        <w:noProof/>
        <w:color w:val="A6A6A6" w:themeColor="background1" w:themeShade="A6"/>
        <w:sz w:val="16"/>
        <w:lang w:val="nl-BE"/>
      </w:rPr>
      <w:t>21</w:t>
    </w:r>
    <w:r w:rsidRPr="00E20836">
      <w:rPr>
        <w:color w:val="A6A6A6" w:themeColor="background1" w:themeShade="A6"/>
        <w:sz w:val="16"/>
      </w:rPr>
      <w:fldChar w:fldCharType="end"/>
    </w:r>
    <w:r w:rsidRPr="008F61D1">
      <w:rPr>
        <w:color w:val="A6A6A6" w:themeColor="background1" w:themeShade="A6"/>
        <w:sz w:val="16"/>
        <w:lang w:val="nl-BE"/>
      </w:rPr>
      <w:t>/</w:t>
    </w:r>
    <w:r w:rsidRPr="00E20836">
      <w:rPr>
        <w:color w:val="A6A6A6" w:themeColor="background1" w:themeShade="A6"/>
        <w:sz w:val="16"/>
      </w:rPr>
      <w:fldChar w:fldCharType="begin"/>
    </w:r>
    <w:r w:rsidRPr="008F61D1">
      <w:rPr>
        <w:color w:val="A6A6A6" w:themeColor="background1" w:themeShade="A6"/>
        <w:sz w:val="16"/>
        <w:lang w:val="nl-BE"/>
      </w:rPr>
      <w:instrText xml:space="preserve"> NUMPAGES  \* Arabic  \* MERGEFORMAT </w:instrText>
    </w:r>
    <w:r w:rsidRPr="00E20836">
      <w:rPr>
        <w:color w:val="A6A6A6" w:themeColor="background1" w:themeShade="A6"/>
        <w:sz w:val="16"/>
      </w:rPr>
      <w:fldChar w:fldCharType="separate"/>
    </w:r>
    <w:r>
      <w:rPr>
        <w:noProof/>
        <w:color w:val="A6A6A6" w:themeColor="background1" w:themeShade="A6"/>
        <w:sz w:val="16"/>
        <w:lang w:val="nl-BE"/>
      </w:rPr>
      <w:t>27</w:t>
    </w:r>
    <w:r w:rsidRPr="00E20836">
      <w:rPr>
        <w:color w:val="A6A6A6" w:themeColor="background1" w:themeShade="A6"/>
        <w:sz w:val="16"/>
      </w:rPr>
      <w:fldChar w:fldCharType="end"/>
    </w:r>
  </w:p>
  <w:p w14:paraId="15EEB810" w14:textId="77777777" w:rsidR="006B023E" w:rsidRPr="008F61D1" w:rsidRDefault="006B023E">
    <w:pPr>
      <w:pStyle w:val="Voettekst"/>
      <w:rPr>
        <w:lang w:val="nl-BE"/>
      </w:rPr>
    </w:pPr>
  </w:p>
  <w:p w14:paraId="0217E933" w14:textId="77777777" w:rsidR="006B023E" w:rsidRPr="008F61D1" w:rsidRDefault="006B023E">
    <w:pPr>
      <w:pStyle w:val="Voettekst"/>
      <w:rPr>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41343" w14:textId="77777777" w:rsidR="006B023E" w:rsidRDefault="006B023E">
      <w:r>
        <w:separator/>
      </w:r>
    </w:p>
  </w:footnote>
  <w:footnote w:type="continuationSeparator" w:id="0">
    <w:p w14:paraId="0A82D0E3" w14:textId="77777777" w:rsidR="006B023E" w:rsidRDefault="006B0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949F8" w14:textId="5A8ACA60" w:rsidR="006B023E" w:rsidRDefault="006B023E">
    <w:pPr>
      <w:pStyle w:val="Koptekst"/>
    </w:pPr>
    <w:r>
      <w:rPr>
        <w:noProof/>
      </w:rPr>
      <w:pict w14:anchorId="20C256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4297766" o:spid="_x0000_s2050" type="#_x0000_t136" style="position:absolute;margin-left:0;margin-top:0;width:581.7pt;height:37.5pt;rotation:315;z-index:-251655168;mso-position-horizontal:center;mso-position-horizontal-relative:margin;mso-position-vertical:center;mso-position-vertical-relative:margin" o:allowincell="f" fillcolor="silver" stroked="f">
          <v:fill opacity=".5"/>
          <v:textpath style="font-family:&quot;Arial&quot;;font-size:1pt" string="Commentaar VREG na consultati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55B58" w14:textId="3A8357F6" w:rsidR="006B023E" w:rsidRDefault="006B023E" w:rsidP="00D75965">
    <w:pPr>
      <w:pStyle w:val="Koptekst"/>
      <w:jc w:val="right"/>
    </w:pPr>
    <w:r w:rsidRPr="008E6922">
      <w:rPr>
        <w:noProof/>
      </w:rPr>
      <w:drawing>
        <wp:inline distT="0" distB="0" distL="0" distR="0" wp14:anchorId="5BD2405F" wp14:editId="12389B87">
          <wp:extent cx="1276350" cy="379095"/>
          <wp:effectExtent l="0" t="0" r="0" b="1905"/>
          <wp:docPr id="7" name="Afbeelding 6">
            <a:extLst xmlns:a="http://schemas.openxmlformats.org/drawingml/2006/main">
              <a:ext uri="{FF2B5EF4-FFF2-40B4-BE49-F238E27FC236}">
                <a16:creationId xmlns:a16="http://schemas.microsoft.com/office/drawing/2014/main" id="{2C151A68-A737-4F69-BAFE-31C5096FB85C}"/>
              </a:ext>
            </a:extLst>
          </wp:docPr>
          <wp:cNvGraphicFramePr/>
          <a:graphic xmlns:a="http://schemas.openxmlformats.org/drawingml/2006/main">
            <a:graphicData uri="http://schemas.openxmlformats.org/drawingml/2006/picture">
              <pic:pic xmlns:pic="http://schemas.openxmlformats.org/drawingml/2006/picture">
                <pic:nvPicPr>
                  <pic:cNvPr id="7" name="Afbeelding 6">
                    <a:extLst>
                      <a:ext uri="{FF2B5EF4-FFF2-40B4-BE49-F238E27FC236}">
                        <a16:creationId xmlns:a16="http://schemas.microsoft.com/office/drawing/2014/main" id="{2C151A68-A737-4F69-BAFE-31C5096FB85C}"/>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76536" cy="379150"/>
                  </a:xfrm>
                  <a:prstGeom prst="rect">
                    <a:avLst/>
                  </a:prstGeom>
                </pic:spPr>
              </pic:pic>
            </a:graphicData>
          </a:graphic>
        </wp:inline>
      </w:drawing>
    </w:r>
  </w:p>
  <w:p w14:paraId="2B346B8F" w14:textId="77777777" w:rsidR="006B023E" w:rsidRDefault="006B023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F98DF" w14:textId="7F1D8234" w:rsidR="006B023E" w:rsidRDefault="006B023E">
    <w:pPr>
      <w:pStyle w:val="Koptekst"/>
    </w:pPr>
    <w:r>
      <w:rPr>
        <w:noProof/>
      </w:rPr>
      <w:pict w14:anchorId="0FDF28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4297765" o:spid="_x0000_s2049" type="#_x0000_t136" style="position:absolute;margin-left:0;margin-top:0;width:581.7pt;height:37.5pt;rotation:315;z-index:-251657216;mso-position-horizontal:center;mso-position-horizontal-relative:margin;mso-position-vertical:center;mso-position-vertical-relative:margin" o:allowincell="f" fillcolor="silver" stroked="f">
          <v:fill opacity=".5"/>
          <v:textpath style="font-family:&quot;Arial&quot;;font-size:1pt" string="Commentaar VREG na consultati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49D2A" w14:textId="77777777" w:rsidR="006B023E" w:rsidRDefault="006B023E">
    <w:pPr>
      <w:pStyle w:val="Koptekst"/>
    </w:pPr>
    <w:r>
      <w:rPr>
        <w:noProof/>
      </w:rPr>
      <w:pict w14:anchorId="1055BD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761157" o:spid="_x0000_s2052" type="#_x0000_t136" style="position:absolute;margin-left:0;margin-top:0;width:597.75pt;height:38.55pt;rotation:315;z-index:-251652096;mso-position-horizontal:center;mso-position-horizontal-relative:margin;mso-position-vertical:center;mso-position-vertical-relative:margin" o:allowincell="f" fillcolor="silver" stroked="f">
          <v:fill opacity=".5"/>
          <v:textpath style="font-family:&quot;Arial&quot;;font-size:1pt" string="commentaar VREG na consultati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5F5CA" w14:textId="77777777" w:rsidR="006B023E" w:rsidRDefault="006B023E">
    <w:pPr>
      <w:pStyle w:val="Koptekst"/>
    </w:pPr>
    <w:r>
      <w:rPr>
        <w:noProof/>
      </w:rPr>
      <w:pict w14:anchorId="4450BF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761156" o:spid="_x0000_s2051" type="#_x0000_t136" style="position:absolute;margin-left:0;margin-top:0;width:597.75pt;height:38.55pt;rotation:315;z-index:-251653120;mso-position-horizontal:center;mso-position-horizontal-relative:margin;mso-position-vertical:center;mso-position-vertical-relative:margin" o:allowincell="f" fillcolor="silver" stroked="f">
          <v:fill opacity=".5"/>
          <v:textpath style="font-family:&quot;Arial&quot;;font-size:1pt" string="commentaar VREG na consultati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44877"/>
    <w:multiLevelType w:val="hybridMultilevel"/>
    <w:tmpl w:val="696E10DC"/>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9AF1DA1"/>
    <w:multiLevelType w:val="hybridMultilevel"/>
    <w:tmpl w:val="9EAE04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A1738BF"/>
    <w:multiLevelType w:val="hybridMultilevel"/>
    <w:tmpl w:val="52A619F8"/>
    <w:lvl w:ilvl="0" w:tplc="0B308212">
      <w:numFmt w:val="bullet"/>
      <w:lvlText w:val=""/>
      <w:lvlJc w:val="left"/>
      <w:pPr>
        <w:ind w:left="720" w:hanging="360"/>
      </w:pPr>
      <w:rPr>
        <w:rFonts w:ascii="Symbol" w:eastAsiaTheme="minorHAnsi" w:hAnsi="Symbo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6C63151"/>
    <w:multiLevelType w:val="hybridMultilevel"/>
    <w:tmpl w:val="50EE0CE8"/>
    <w:lvl w:ilvl="0" w:tplc="A09273B4">
      <w:start w:val="1"/>
      <w:numFmt w:val="decimal"/>
      <w:lvlText w:val="Artikel %1. "/>
      <w:lvlJc w:val="left"/>
      <w:pPr>
        <w:ind w:left="360" w:hanging="360"/>
      </w:pPr>
      <w:rPr>
        <w:rFonts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0476382"/>
    <w:multiLevelType w:val="hybridMultilevel"/>
    <w:tmpl w:val="C53869E0"/>
    <w:lvl w:ilvl="0" w:tplc="CAB29490">
      <w:start w:val="1"/>
      <w:numFmt w:val="decimal"/>
      <w:lvlText w:val="%1"/>
      <w:lvlJc w:val="left"/>
      <w:pPr>
        <w:ind w:left="930" w:hanging="57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CA5534C"/>
    <w:multiLevelType w:val="hybridMultilevel"/>
    <w:tmpl w:val="8B7C7478"/>
    <w:lvl w:ilvl="0" w:tplc="0409000F">
      <w:start w:val="1"/>
      <w:numFmt w:val="decimal"/>
      <w:lvlText w:val="%1."/>
      <w:lvlJc w:val="left"/>
      <w:pPr>
        <w:tabs>
          <w:tab w:val="num" w:pos="2880"/>
        </w:tabs>
        <w:ind w:left="288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0D569C6"/>
    <w:multiLevelType w:val="hybridMultilevel"/>
    <w:tmpl w:val="C422CCAA"/>
    <w:lvl w:ilvl="0" w:tplc="110C3EF4">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7" w15:restartNumberingAfterBreak="0">
    <w:nsid w:val="59113363"/>
    <w:multiLevelType w:val="hybridMultilevel"/>
    <w:tmpl w:val="637E5D96"/>
    <w:lvl w:ilvl="0" w:tplc="4B6A8FBC">
      <w:start w:val="1"/>
      <w:numFmt w:val="bullet"/>
      <w:lvlText w:val=""/>
      <w:lvlJc w:val="left"/>
      <w:pPr>
        <w:tabs>
          <w:tab w:val="num" w:pos="2490"/>
        </w:tabs>
        <w:ind w:left="249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053A50"/>
    <w:multiLevelType w:val="hybridMultilevel"/>
    <w:tmpl w:val="8EDE5F06"/>
    <w:lvl w:ilvl="0" w:tplc="0C486FE2">
      <w:numFmt w:val="bullet"/>
      <w:lvlText w:val="-"/>
      <w:lvlJc w:val="left"/>
      <w:pPr>
        <w:ind w:left="72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63545138"/>
    <w:multiLevelType w:val="hybridMultilevel"/>
    <w:tmpl w:val="22848708"/>
    <w:lvl w:ilvl="0" w:tplc="E38C038A">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689A18E6"/>
    <w:multiLevelType w:val="hybridMultilevel"/>
    <w:tmpl w:val="E84AE3CE"/>
    <w:lvl w:ilvl="0" w:tplc="04090017">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C542414"/>
    <w:multiLevelType w:val="multilevel"/>
    <w:tmpl w:val="C5F0069E"/>
    <w:lvl w:ilvl="0">
      <w:start w:val="1"/>
      <w:numFmt w:val="decimal"/>
      <w:lvlText w:val="Artikel %1"/>
      <w:lvlJc w:val="left"/>
      <w:pPr>
        <w:ind w:left="822" w:hanging="680"/>
      </w:pPr>
      <w:rPr>
        <w:rFonts w:hint="default"/>
      </w:rPr>
    </w:lvl>
    <w:lvl w:ilvl="1">
      <w:start w:val="1"/>
      <w:numFmt w:val="decimal"/>
      <w:lvlText w:val="%1.%2."/>
      <w:lvlJc w:val="left"/>
      <w:pPr>
        <w:ind w:left="1531"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right"/>
      <w:pPr>
        <w:ind w:left="2041" w:hanging="283"/>
      </w:pPr>
      <w:rPr>
        <w:rFonts w:hint="default"/>
      </w:rPr>
    </w:lvl>
    <w:lvl w:ilvl="3">
      <w:start w:val="1"/>
      <w:numFmt w:val="decimal"/>
      <w:lvlText w:val="%1.%2.%3.%4"/>
      <w:lvlJc w:val="left"/>
      <w:pPr>
        <w:ind w:left="2840" w:hanging="680"/>
      </w:pPr>
      <w:rPr>
        <w:rFonts w:hint="default"/>
      </w:rPr>
    </w:lvl>
    <w:lvl w:ilvl="4">
      <w:start w:val="1"/>
      <w:numFmt w:val="lowerLetter"/>
      <w:lvlText w:val="%5."/>
      <w:lvlJc w:val="left"/>
      <w:pPr>
        <w:ind w:left="3560" w:hanging="680"/>
      </w:pPr>
      <w:rPr>
        <w:rFonts w:hint="default"/>
      </w:rPr>
    </w:lvl>
    <w:lvl w:ilvl="5">
      <w:start w:val="1"/>
      <w:numFmt w:val="lowerRoman"/>
      <w:lvlText w:val="%6."/>
      <w:lvlJc w:val="right"/>
      <w:pPr>
        <w:ind w:left="4280" w:hanging="680"/>
      </w:pPr>
      <w:rPr>
        <w:rFonts w:hint="default"/>
      </w:rPr>
    </w:lvl>
    <w:lvl w:ilvl="6">
      <w:start w:val="1"/>
      <w:numFmt w:val="decimal"/>
      <w:lvlText w:val="%7."/>
      <w:lvlJc w:val="left"/>
      <w:pPr>
        <w:ind w:left="5000" w:hanging="680"/>
      </w:pPr>
      <w:rPr>
        <w:rFonts w:hint="default"/>
      </w:rPr>
    </w:lvl>
    <w:lvl w:ilvl="7">
      <w:start w:val="1"/>
      <w:numFmt w:val="lowerLetter"/>
      <w:lvlText w:val="%8."/>
      <w:lvlJc w:val="left"/>
      <w:pPr>
        <w:ind w:left="5720" w:hanging="680"/>
      </w:pPr>
      <w:rPr>
        <w:rFonts w:hint="default"/>
      </w:rPr>
    </w:lvl>
    <w:lvl w:ilvl="8">
      <w:start w:val="1"/>
      <w:numFmt w:val="lowerRoman"/>
      <w:lvlText w:val="%9."/>
      <w:lvlJc w:val="right"/>
      <w:pPr>
        <w:ind w:left="6440" w:hanging="680"/>
      </w:pPr>
      <w:rPr>
        <w:rFonts w:hint="default"/>
      </w:rPr>
    </w:lvl>
  </w:abstractNum>
  <w:abstractNum w:abstractNumId="12" w15:restartNumberingAfterBreak="0">
    <w:nsid w:val="718262D0"/>
    <w:multiLevelType w:val="hybridMultilevel"/>
    <w:tmpl w:val="0DC22694"/>
    <w:lvl w:ilvl="0" w:tplc="08130001">
      <w:start w:val="1"/>
      <w:numFmt w:val="bullet"/>
      <w:lvlText w:val=""/>
      <w:lvlJc w:val="left"/>
      <w:pPr>
        <w:ind w:left="720" w:hanging="360"/>
      </w:pPr>
      <w:rPr>
        <w:rFonts w:ascii="Symbol" w:eastAsia="Times New Roman"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4"/>
  </w:num>
  <w:num w:numId="4">
    <w:abstractNumId w:val="12"/>
  </w:num>
  <w:num w:numId="5">
    <w:abstractNumId w:val="8"/>
  </w:num>
  <w:num w:numId="6">
    <w:abstractNumId w:val="6"/>
  </w:num>
  <w:num w:numId="7">
    <w:abstractNumId w:val="11"/>
  </w:num>
  <w:num w:numId="8">
    <w:abstractNumId w:val="9"/>
  </w:num>
  <w:num w:numId="9">
    <w:abstractNumId w:val="2"/>
  </w:num>
  <w:num w:numId="10">
    <w:abstractNumId w:val="5"/>
  </w:num>
  <w:num w:numId="11">
    <w:abstractNumId w:val="0"/>
  </w:num>
  <w:num w:numId="12">
    <w:abstractNumId w:val="1"/>
  </w:num>
  <w:num w:numId="13">
    <w:abstractNumId w:val="9"/>
    <w:lvlOverride w:ilvl="0">
      <w:startOverride w:val="1"/>
    </w:lvlOverride>
  </w:num>
  <w:num w:numId="14">
    <w:abstractNumId w:val="9"/>
    <w:lvlOverride w:ilvl="0">
      <w:startOverride w:val="1"/>
    </w:lvlOverride>
  </w:num>
  <w:num w:numId="1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1913"/>
    <w:rsid w:val="00054627"/>
    <w:rsid w:val="00072B75"/>
    <w:rsid w:val="000907DB"/>
    <w:rsid w:val="00094BFC"/>
    <w:rsid w:val="00094E0E"/>
    <w:rsid w:val="000B3B90"/>
    <w:rsid w:val="000C4547"/>
    <w:rsid w:val="000C5AC1"/>
    <w:rsid w:val="000D75BE"/>
    <w:rsid w:val="000E09F7"/>
    <w:rsid w:val="000E42B7"/>
    <w:rsid w:val="000E4EDC"/>
    <w:rsid w:val="000F19DF"/>
    <w:rsid w:val="000F68A5"/>
    <w:rsid w:val="00102F5E"/>
    <w:rsid w:val="00110E37"/>
    <w:rsid w:val="00111101"/>
    <w:rsid w:val="00133E48"/>
    <w:rsid w:val="00135FE7"/>
    <w:rsid w:val="00137F83"/>
    <w:rsid w:val="00142D50"/>
    <w:rsid w:val="001460EC"/>
    <w:rsid w:val="00147C94"/>
    <w:rsid w:val="00167AE9"/>
    <w:rsid w:val="00181B35"/>
    <w:rsid w:val="00183DAC"/>
    <w:rsid w:val="0019390D"/>
    <w:rsid w:val="001A5B2D"/>
    <w:rsid w:val="001B3482"/>
    <w:rsid w:val="001B6B3B"/>
    <w:rsid w:val="001C0F03"/>
    <w:rsid w:val="001C319E"/>
    <w:rsid w:val="001C715F"/>
    <w:rsid w:val="001D4AD5"/>
    <w:rsid w:val="0020786F"/>
    <w:rsid w:val="00252AB2"/>
    <w:rsid w:val="002555C8"/>
    <w:rsid w:val="0028349E"/>
    <w:rsid w:val="00285500"/>
    <w:rsid w:val="002B52EE"/>
    <w:rsid w:val="002B7FCE"/>
    <w:rsid w:val="002F3674"/>
    <w:rsid w:val="002F42DC"/>
    <w:rsid w:val="00312182"/>
    <w:rsid w:val="00316BF7"/>
    <w:rsid w:val="0032227A"/>
    <w:rsid w:val="00331F88"/>
    <w:rsid w:val="00337DCE"/>
    <w:rsid w:val="0034029C"/>
    <w:rsid w:val="00342ACF"/>
    <w:rsid w:val="0034637C"/>
    <w:rsid w:val="00356024"/>
    <w:rsid w:val="00376791"/>
    <w:rsid w:val="003878F9"/>
    <w:rsid w:val="003C0EF5"/>
    <w:rsid w:val="003C148E"/>
    <w:rsid w:val="003C7B9B"/>
    <w:rsid w:val="003E6994"/>
    <w:rsid w:val="00400367"/>
    <w:rsid w:val="00403954"/>
    <w:rsid w:val="00413801"/>
    <w:rsid w:val="00430962"/>
    <w:rsid w:val="004615F5"/>
    <w:rsid w:val="00470A28"/>
    <w:rsid w:val="004725B5"/>
    <w:rsid w:val="00472D8E"/>
    <w:rsid w:val="0048539E"/>
    <w:rsid w:val="00495831"/>
    <w:rsid w:val="00497B72"/>
    <w:rsid w:val="004A2B29"/>
    <w:rsid w:val="004A71FD"/>
    <w:rsid w:val="004C3405"/>
    <w:rsid w:val="004C3995"/>
    <w:rsid w:val="004D1624"/>
    <w:rsid w:val="004D313A"/>
    <w:rsid w:val="004F651C"/>
    <w:rsid w:val="00515786"/>
    <w:rsid w:val="00524C19"/>
    <w:rsid w:val="0052584E"/>
    <w:rsid w:val="00547624"/>
    <w:rsid w:val="00551CB8"/>
    <w:rsid w:val="005548B1"/>
    <w:rsid w:val="00561B2B"/>
    <w:rsid w:val="00573E3E"/>
    <w:rsid w:val="005772D9"/>
    <w:rsid w:val="0058760B"/>
    <w:rsid w:val="005B2A76"/>
    <w:rsid w:val="005C6560"/>
    <w:rsid w:val="005D59A4"/>
    <w:rsid w:val="005F41FE"/>
    <w:rsid w:val="005F6458"/>
    <w:rsid w:val="005F69B1"/>
    <w:rsid w:val="00612C67"/>
    <w:rsid w:val="00612ECB"/>
    <w:rsid w:val="006239B7"/>
    <w:rsid w:val="00631486"/>
    <w:rsid w:val="006363A1"/>
    <w:rsid w:val="00637C2D"/>
    <w:rsid w:val="00642440"/>
    <w:rsid w:val="00647BCA"/>
    <w:rsid w:val="00656336"/>
    <w:rsid w:val="00656465"/>
    <w:rsid w:val="006B023E"/>
    <w:rsid w:val="0070624D"/>
    <w:rsid w:val="00710C44"/>
    <w:rsid w:val="007135E2"/>
    <w:rsid w:val="00756920"/>
    <w:rsid w:val="00784C88"/>
    <w:rsid w:val="0079310B"/>
    <w:rsid w:val="007A0E03"/>
    <w:rsid w:val="007A246B"/>
    <w:rsid w:val="007B42DE"/>
    <w:rsid w:val="007B5010"/>
    <w:rsid w:val="007C0A60"/>
    <w:rsid w:val="007C2E35"/>
    <w:rsid w:val="007C4E96"/>
    <w:rsid w:val="007F0CD8"/>
    <w:rsid w:val="00833130"/>
    <w:rsid w:val="008369FD"/>
    <w:rsid w:val="00845C2A"/>
    <w:rsid w:val="00846DE9"/>
    <w:rsid w:val="00853666"/>
    <w:rsid w:val="00860001"/>
    <w:rsid w:val="00860E5E"/>
    <w:rsid w:val="00864415"/>
    <w:rsid w:val="00867AF1"/>
    <w:rsid w:val="008765A2"/>
    <w:rsid w:val="008847DD"/>
    <w:rsid w:val="008866F3"/>
    <w:rsid w:val="008A2CEB"/>
    <w:rsid w:val="008A5FE3"/>
    <w:rsid w:val="008A708F"/>
    <w:rsid w:val="008A7E55"/>
    <w:rsid w:val="008C5081"/>
    <w:rsid w:val="008D2156"/>
    <w:rsid w:val="008D7FF5"/>
    <w:rsid w:val="008E3988"/>
    <w:rsid w:val="008E6922"/>
    <w:rsid w:val="008F54CA"/>
    <w:rsid w:val="008F61D1"/>
    <w:rsid w:val="00906A55"/>
    <w:rsid w:val="009073EE"/>
    <w:rsid w:val="0092632A"/>
    <w:rsid w:val="0094490E"/>
    <w:rsid w:val="00952FF9"/>
    <w:rsid w:val="00963306"/>
    <w:rsid w:val="00964BD1"/>
    <w:rsid w:val="009A1D63"/>
    <w:rsid w:val="009A313D"/>
    <w:rsid w:val="009B0C54"/>
    <w:rsid w:val="009C10CF"/>
    <w:rsid w:val="009C15F6"/>
    <w:rsid w:val="009E6324"/>
    <w:rsid w:val="00A0260B"/>
    <w:rsid w:val="00A029CB"/>
    <w:rsid w:val="00A1224B"/>
    <w:rsid w:val="00A26F4F"/>
    <w:rsid w:val="00A332B0"/>
    <w:rsid w:val="00A36278"/>
    <w:rsid w:val="00A4152E"/>
    <w:rsid w:val="00A444F8"/>
    <w:rsid w:val="00A51B73"/>
    <w:rsid w:val="00A524DF"/>
    <w:rsid w:val="00A76CDA"/>
    <w:rsid w:val="00A8168C"/>
    <w:rsid w:val="00A85166"/>
    <w:rsid w:val="00A97551"/>
    <w:rsid w:val="00AB03D3"/>
    <w:rsid w:val="00AB1257"/>
    <w:rsid w:val="00AD310E"/>
    <w:rsid w:val="00AD5D4B"/>
    <w:rsid w:val="00AE437B"/>
    <w:rsid w:val="00AF57CA"/>
    <w:rsid w:val="00B02C28"/>
    <w:rsid w:val="00B21784"/>
    <w:rsid w:val="00B21AB7"/>
    <w:rsid w:val="00B25795"/>
    <w:rsid w:val="00B4299E"/>
    <w:rsid w:val="00B42AB0"/>
    <w:rsid w:val="00B436EF"/>
    <w:rsid w:val="00B44E32"/>
    <w:rsid w:val="00B51753"/>
    <w:rsid w:val="00B77EC6"/>
    <w:rsid w:val="00B83296"/>
    <w:rsid w:val="00B9267C"/>
    <w:rsid w:val="00BA1AF7"/>
    <w:rsid w:val="00BA3827"/>
    <w:rsid w:val="00BD111F"/>
    <w:rsid w:val="00BE76C1"/>
    <w:rsid w:val="00BF6C1C"/>
    <w:rsid w:val="00C4170B"/>
    <w:rsid w:val="00C52D02"/>
    <w:rsid w:val="00C6761D"/>
    <w:rsid w:val="00C749C1"/>
    <w:rsid w:val="00C770B5"/>
    <w:rsid w:val="00CA78B8"/>
    <w:rsid w:val="00CA7AD4"/>
    <w:rsid w:val="00CC10B1"/>
    <w:rsid w:val="00CE452C"/>
    <w:rsid w:val="00D01C05"/>
    <w:rsid w:val="00D072EC"/>
    <w:rsid w:val="00D10DB5"/>
    <w:rsid w:val="00D11DF6"/>
    <w:rsid w:val="00D12BBC"/>
    <w:rsid w:val="00D32539"/>
    <w:rsid w:val="00D40523"/>
    <w:rsid w:val="00D75965"/>
    <w:rsid w:val="00D80A9C"/>
    <w:rsid w:val="00D81E00"/>
    <w:rsid w:val="00DB01DE"/>
    <w:rsid w:val="00DB03A3"/>
    <w:rsid w:val="00DC1EFD"/>
    <w:rsid w:val="00DD513A"/>
    <w:rsid w:val="00DE55F6"/>
    <w:rsid w:val="00DF1913"/>
    <w:rsid w:val="00E06B54"/>
    <w:rsid w:val="00E11D0B"/>
    <w:rsid w:val="00E13348"/>
    <w:rsid w:val="00E13D24"/>
    <w:rsid w:val="00E2232E"/>
    <w:rsid w:val="00E36C3A"/>
    <w:rsid w:val="00E63B98"/>
    <w:rsid w:val="00E8048F"/>
    <w:rsid w:val="00E97C94"/>
    <w:rsid w:val="00EA2348"/>
    <w:rsid w:val="00EA628D"/>
    <w:rsid w:val="00EB250A"/>
    <w:rsid w:val="00EB6389"/>
    <w:rsid w:val="00EE272D"/>
    <w:rsid w:val="00EE3AFE"/>
    <w:rsid w:val="00EE524B"/>
    <w:rsid w:val="00EF154A"/>
    <w:rsid w:val="00EF6948"/>
    <w:rsid w:val="00F014E5"/>
    <w:rsid w:val="00F01F79"/>
    <w:rsid w:val="00F23797"/>
    <w:rsid w:val="00F27455"/>
    <w:rsid w:val="00F30F7A"/>
    <w:rsid w:val="00F42805"/>
    <w:rsid w:val="00F45950"/>
    <w:rsid w:val="00F54F4D"/>
    <w:rsid w:val="00F64B1F"/>
    <w:rsid w:val="00F70F9E"/>
    <w:rsid w:val="00F86104"/>
    <w:rsid w:val="00F9433E"/>
    <w:rsid w:val="00FA1FB8"/>
    <w:rsid w:val="00FC3458"/>
    <w:rsid w:val="00FD454F"/>
    <w:rsid w:val="00FD523B"/>
    <w:rsid w:val="00FE571C"/>
    <w:rsid w:val="00FE6D8D"/>
    <w:rsid w:val="00FE7C4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0F088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167AE9"/>
    <w:pPr>
      <w:autoSpaceDE w:val="0"/>
      <w:autoSpaceDN w:val="0"/>
      <w:adjustRightInd w:val="0"/>
    </w:pPr>
    <w:rPr>
      <w:rFonts w:ascii="Arial" w:hAnsi="Arial"/>
      <w:lang w:val="en-US" w:eastAsia="en-US"/>
    </w:rPr>
  </w:style>
  <w:style w:type="paragraph" w:styleId="Kop1">
    <w:name w:val="heading 1"/>
    <w:aliases w:val="Part Title"/>
    <w:basedOn w:val="Standaard"/>
    <w:next w:val="Kop4"/>
    <w:link w:val="Kop1Char"/>
    <w:uiPriority w:val="9"/>
    <w:qFormat/>
    <w:rsid w:val="00167AE9"/>
    <w:pPr>
      <w:keepNext/>
      <w:outlineLvl w:val="0"/>
    </w:pPr>
    <w:rPr>
      <w:i/>
      <w:iCs/>
      <w:sz w:val="18"/>
      <w:szCs w:val="18"/>
    </w:rPr>
  </w:style>
  <w:style w:type="paragraph" w:styleId="Kop2">
    <w:name w:val="heading 2"/>
    <w:aliases w:val="Chapter Title,Artikel nummer"/>
    <w:basedOn w:val="Standaard"/>
    <w:next w:val="Kop4"/>
    <w:link w:val="Kop2Char"/>
    <w:uiPriority w:val="9"/>
    <w:qFormat/>
    <w:rsid w:val="00167AE9"/>
    <w:pPr>
      <w:spacing w:after="240"/>
      <w:jc w:val="center"/>
      <w:outlineLvl w:val="1"/>
    </w:pPr>
    <w:rPr>
      <w:b/>
      <w:bCs/>
      <w:sz w:val="32"/>
      <w:szCs w:val="32"/>
    </w:rPr>
  </w:style>
  <w:style w:type="paragraph" w:styleId="Kop3">
    <w:name w:val="heading 3"/>
    <w:aliases w:val="Section Title"/>
    <w:basedOn w:val="Standaard"/>
    <w:next w:val="Kop4"/>
    <w:link w:val="Kop3Char"/>
    <w:uiPriority w:val="9"/>
    <w:qFormat/>
    <w:rsid w:val="001C0F03"/>
    <w:pPr>
      <w:keepNext/>
      <w:keepLines/>
      <w:numPr>
        <w:ilvl w:val="2"/>
        <w:numId w:val="7"/>
      </w:numPr>
      <w:autoSpaceDE/>
      <w:autoSpaceDN/>
      <w:adjustRightInd/>
      <w:spacing w:before="200" w:after="240"/>
      <w:ind w:left="851" w:hanging="284"/>
      <w:outlineLvl w:val="2"/>
    </w:pPr>
    <w:rPr>
      <w:rFonts w:eastAsiaTheme="majorEastAsia" w:cs="Arial"/>
      <w:b/>
      <w:bCs/>
      <w:sz w:val="12"/>
      <w:szCs w:val="22"/>
      <w:lang w:val="nl-BE"/>
    </w:rPr>
  </w:style>
  <w:style w:type="paragraph" w:styleId="Kop4">
    <w:name w:val="heading 4"/>
    <w:aliases w:val="Map Title"/>
    <w:basedOn w:val="Standaard"/>
    <w:next w:val="Standaard"/>
    <w:link w:val="Kop4Char"/>
    <w:uiPriority w:val="9"/>
    <w:qFormat/>
    <w:rsid w:val="00167AE9"/>
    <w:pPr>
      <w:spacing w:after="240"/>
      <w:outlineLvl w:val="3"/>
    </w:pPr>
    <w:rPr>
      <w:b/>
      <w:bCs/>
      <w:sz w:val="28"/>
      <w:szCs w:val="28"/>
      <w:lang w:val="nl-NL"/>
    </w:rPr>
  </w:style>
  <w:style w:type="paragraph" w:styleId="Kop5">
    <w:name w:val="heading 5"/>
    <w:aliases w:val="Block Label"/>
    <w:basedOn w:val="Standaard"/>
    <w:next w:val="Standaard"/>
    <w:link w:val="Kop5Char"/>
    <w:uiPriority w:val="9"/>
    <w:qFormat/>
    <w:rsid w:val="00167AE9"/>
    <w:pPr>
      <w:outlineLvl w:val="4"/>
    </w:pPr>
    <w:rPr>
      <w:b/>
      <w:bCs/>
    </w:rPr>
  </w:style>
  <w:style w:type="paragraph" w:styleId="Kop6">
    <w:name w:val="heading 6"/>
    <w:aliases w:val="subArtikel"/>
    <w:basedOn w:val="Standaard"/>
    <w:next w:val="Standaard"/>
    <w:link w:val="Kop6Char"/>
    <w:qFormat/>
    <w:rsid w:val="00167AE9"/>
    <w:pPr>
      <w:spacing w:before="240" w:after="60"/>
      <w:outlineLvl w:val="5"/>
    </w:pPr>
    <w:rPr>
      <w:rFonts w:ascii="Times" w:hAnsi="Times" w:cs="Times"/>
      <w:i/>
      <w:iCs/>
      <w:sz w:val="22"/>
      <w:szCs w:val="22"/>
    </w:rPr>
  </w:style>
  <w:style w:type="paragraph" w:styleId="Kop7">
    <w:name w:val="heading 7"/>
    <w:basedOn w:val="Standaard"/>
    <w:next w:val="Standaard"/>
    <w:qFormat/>
    <w:rsid w:val="00167AE9"/>
    <w:pPr>
      <w:spacing w:before="240" w:after="60"/>
      <w:outlineLvl w:val="6"/>
    </w:pPr>
    <w:rPr>
      <w:sz w:val="24"/>
      <w:szCs w:val="24"/>
    </w:rPr>
  </w:style>
  <w:style w:type="paragraph" w:styleId="Kop8">
    <w:name w:val="heading 8"/>
    <w:basedOn w:val="Standaard"/>
    <w:next w:val="Standaard"/>
    <w:link w:val="Kop8Char"/>
    <w:uiPriority w:val="9"/>
    <w:qFormat/>
    <w:rsid w:val="00167AE9"/>
    <w:pPr>
      <w:spacing w:before="240" w:after="60"/>
      <w:outlineLvl w:val="7"/>
    </w:pPr>
    <w:rPr>
      <w:i/>
      <w:iCs/>
      <w:sz w:val="24"/>
      <w:szCs w:val="24"/>
    </w:rPr>
  </w:style>
  <w:style w:type="paragraph" w:styleId="Kop9">
    <w:name w:val="heading 9"/>
    <w:basedOn w:val="Standaard"/>
    <w:next w:val="Standaard"/>
    <w:qFormat/>
    <w:rsid w:val="00167AE9"/>
    <w:pPr>
      <w:spacing w:before="240" w:after="60"/>
      <w:outlineLvl w:val="8"/>
    </w:pPr>
    <w:rPr>
      <w:b/>
      <w:bCs/>
      <w:i/>
      <w:i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lockLine">
    <w:name w:val="Block Line"/>
    <w:basedOn w:val="Standaard"/>
    <w:next w:val="Standaard"/>
    <w:rsid w:val="00167AE9"/>
    <w:pPr>
      <w:pBdr>
        <w:top w:val="single" w:sz="6" w:space="1" w:color="auto"/>
        <w:between w:val="single" w:sz="6" w:space="1" w:color="auto"/>
      </w:pBdr>
      <w:spacing w:before="240"/>
      <w:ind w:left="1700"/>
    </w:pPr>
  </w:style>
  <w:style w:type="paragraph" w:styleId="Bloktekst">
    <w:name w:val="Block Text"/>
    <w:basedOn w:val="Standaard"/>
    <w:semiHidden/>
    <w:rsid w:val="00167AE9"/>
  </w:style>
  <w:style w:type="paragraph" w:customStyle="1" w:styleId="BulletText1">
    <w:name w:val="Bullet Text 1"/>
    <w:basedOn w:val="Standaard"/>
    <w:rsid w:val="00167AE9"/>
    <w:pPr>
      <w:tabs>
        <w:tab w:val="left" w:pos="187"/>
        <w:tab w:val="num" w:pos="360"/>
      </w:tabs>
      <w:ind w:left="187" w:hanging="187"/>
    </w:pPr>
  </w:style>
  <w:style w:type="paragraph" w:customStyle="1" w:styleId="BulletText2">
    <w:name w:val="Bullet Text 2"/>
    <w:basedOn w:val="Standaard"/>
    <w:rsid w:val="00167AE9"/>
    <w:pPr>
      <w:tabs>
        <w:tab w:val="left" w:pos="374"/>
        <w:tab w:val="num" w:pos="547"/>
      </w:tabs>
      <w:ind w:left="360" w:hanging="173"/>
    </w:pPr>
  </w:style>
  <w:style w:type="paragraph" w:styleId="Bijschrift">
    <w:name w:val="caption"/>
    <w:basedOn w:val="Standaard"/>
    <w:next w:val="Standaard"/>
    <w:qFormat/>
    <w:rsid w:val="00167AE9"/>
    <w:pPr>
      <w:spacing w:before="120" w:after="120"/>
    </w:pPr>
    <w:rPr>
      <w:b/>
      <w:bCs/>
    </w:rPr>
  </w:style>
  <w:style w:type="character" w:customStyle="1" w:styleId="Continued">
    <w:name w:val="Continued"/>
    <w:basedOn w:val="Standaardalinea-lettertype"/>
    <w:rsid w:val="00167AE9"/>
    <w:rPr>
      <w:rFonts w:ascii="Arial" w:hAnsi="Arial"/>
      <w:spacing w:val="0"/>
      <w:sz w:val="24"/>
      <w:szCs w:val="24"/>
    </w:rPr>
  </w:style>
  <w:style w:type="paragraph" w:customStyle="1" w:styleId="ContinuedBlockLabel">
    <w:name w:val="Continued Block Label"/>
    <w:basedOn w:val="Standaard"/>
    <w:rsid w:val="00167AE9"/>
    <w:rPr>
      <w:b/>
      <w:bCs/>
      <w:sz w:val="22"/>
      <w:szCs w:val="22"/>
    </w:rPr>
  </w:style>
  <w:style w:type="paragraph" w:customStyle="1" w:styleId="ContinuedOnNextPa">
    <w:name w:val="Continued On Next Pa"/>
    <w:basedOn w:val="Standaard"/>
    <w:next w:val="Standaard"/>
    <w:rsid w:val="00167AE9"/>
    <w:pPr>
      <w:pBdr>
        <w:top w:val="single" w:sz="6" w:space="1" w:color="auto"/>
        <w:between w:val="single" w:sz="6" w:space="1" w:color="auto"/>
      </w:pBdr>
      <w:spacing w:before="240"/>
      <w:ind w:left="1701"/>
      <w:jc w:val="right"/>
    </w:pPr>
    <w:rPr>
      <w:i/>
      <w:iCs/>
    </w:rPr>
  </w:style>
  <w:style w:type="paragraph" w:customStyle="1" w:styleId="ContinuedTableLabe">
    <w:name w:val="Continued Table Labe"/>
    <w:basedOn w:val="Standaard"/>
    <w:rsid w:val="00167AE9"/>
    <w:rPr>
      <w:b/>
      <w:bCs/>
      <w:sz w:val="22"/>
      <w:szCs w:val="22"/>
    </w:rPr>
  </w:style>
  <w:style w:type="paragraph" w:customStyle="1" w:styleId="TableText">
    <w:name w:val="Table Text"/>
    <w:basedOn w:val="Standaard"/>
    <w:rsid w:val="00167AE9"/>
  </w:style>
  <w:style w:type="paragraph" w:customStyle="1" w:styleId="EmbeddedText">
    <w:name w:val="Embedded Text"/>
    <w:basedOn w:val="TableText"/>
    <w:rsid w:val="00167AE9"/>
  </w:style>
  <w:style w:type="paragraph" w:styleId="Voettekst">
    <w:name w:val="footer"/>
    <w:basedOn w:val="Standaard"/>
    <w:link w:val="VoettekstChar"/>
    <w:uiPriority w:val="99"/>
    <w:rsid w:val="00167AE9"/>
    <w:pPr>
      <w:tabs>
        <w:tab w:val="center" w:pos="4320"/>
        <w:tab w:val="right" w:pos="8640"/>
      </w:tabs>
    </w:pPr>
  </w:style>
  <w:style w:type="paragraph" w:styleId="Koptekst">
    <w:name w:val="header"/>
    <w:basedOn w:val="Standaard"/>
    <w:link w:val="KoptekstChar"/>
    <w:uiPriority w:val="99"/>
    <w:rsid w:val="00167AE9"/>
    <w:pPr>
      <w:tabs>
        <w:tab w:val="center" w:pos="4320"/>
        <w:tab w:val="right" w:pos="8640"/>
      </w:tabs>
    </w:pPr>
  </w:style>
  <w:style w:type="character" w:customStyle="1" w:styleId="Jump">
    <w:name w:val="Jump"/>
    <w:basedOn w:val="Standaardalinea-lettertype"/>
    <w:rsid w:val="00167AE9"/>
    <w:rPr>
      <w:color w:val="FF0000"/>
      <w:spacing w:val="0"/>
    </w:rPr>
  </w:style>
  <w:style w:type="paragraph" w:styleId="Macrotekst">
    <w:name w:val="macro"/>
    <w:semiHidden/>
    <w:rsid w:val="00167AE9"/>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lang w:val="en-US" w:eastAsia="en-US"/>
    </w:rPr>
  </w:style>
  <w:style w:type="paragraph" w:customStyle="1" w:styleId="MapTitleContinued">
    <w:name w:val="Map Title. Continued"/>
    <w:basedOn w:val="Standaard"/>
    <w:rsid w:val="00167AE9"/>
    <w:pPr>
      <w:spacing w:after="240"/>
    </w:pPr>
    <w:rPr>
      <w:b/>
      <w:bCs/>
      <w:sz w:val="32"/>
      <w:szCs w:val="32"/>
    </w:rPr>
  </w:style>
  <w:style w:type="paragraph" w:customStyle="1" w:styleId="MemoLine">
    <w:name w:val="Memo Line"/>
    <w:basedOn w:val="BlockLine"/>
    <w:next w:val="Standaard"/>
    <w:rsid w:val="00167AE9"/>
    <w:pPr>
      <w:ind w:left="0"/>
    </w:pPr>
  </w:style>
  <w:style w:type="paragraph" w:customStyle="1" w:styleId="NoteText">
    <w:name w:val="Note Text"/>
    <w:basedOn w:val="Bloktekst"/>
    <w:rsid w:val="00167AE9"/>
  </w:style>
  <w:style w:type="character" w:styleId="Paginanummer">
    <w:name w:val="page number"/>
    <w:basedOn w:val="Standaardalinea-lettertype"/>
    <w:semiHidden/>
    <w:rsid w:val="00167AE9"/>
  </w:style>
  <w:style w:type="paragraph" w:customStyle="1" w:styleId="PublicationTitle">
    <w:name w:val="Publication Title"/>
    <w:basedOn w:val="Standaard"/>
    <w:next w:val="Kop4"/>
    <w:rsid w:val="00167AE9"/>
    <w:pPr>
      <w:spacing w:after="240"/>
      <w:jc w:val="center"/>
    </w:pPr>
    <w:rPr>
      <w:b/>
      <w:bCs/>
      <w:sz w:val="36"/>
      <w:szCs w:val="36"/>
    </w:rPr>
  </w:style>
  <w:style w:type="paragraph" w:customStyle="1" w:styleId="TableHeaderText">
    <w:name w:val="Table Header Text"/>
    <w:basedOn w:val="TableText"/>
    <w:rsid w:val="00167AE9"/>
    <w:pPr>
      <w:jc w:val="center"/>
    </w:pPr>
    <w:rPr>
      <w:b/>
      <w:bCs/>
    </w:rPr>
  </w:style>
  <w:style w:type="paragraph" w:styleId="Inhopg1">
    <w:name w:val="toc 1"/>
    <w:basedOn w:val="Standaard"/>
    <w:next w:val="Standaard"/>
    <w:autoRedefine/>
    <w:uiPriority w:val="39"/>
    <w:rsid w:val="00A8168C"/>
    <w:pPr>
      <w:tabs>
        <w:tab w:val="left" w:pos="1200"/>
        <w:tab w:val="right" w:leader="dot" w:pos="9016"/>
      </w:tabs>
      <w:autoSpaceDE/>
      <w:autoSpaceDN/>
      <w:adjustRightInd/>
      <w:spacing w:before="120"/>
    </w:pPr>
    <w:rPr>
      <w:rFonts w:asciiTheme="minorHAnsi" w:eastAsiaTheme="minorHAnsi" w:hAnsiTheme="minorHAnsi" w:cstheme="minorHAnsi"/>
      <w:b/>
      <w:bCs/>
      <w:i/>
      <w:iCs/>
      <w:noProof/>
      <w:color w:val="000000" w:themeColor="text1"/>
      <w:sz w:val="24"/>
      <w:szCs w:val="24"/>
      <w:lang w:val="fr-FR" w:eastAsia="fr-FR" w:bidi="fr-FR"/>
    </w:rPr>
  </w:style>
  <w:style w:type="paragraph" w:customStyle="1" w:styleId="TOCTitle">
    <w:name w:val="TOC Title"/>
    <w:basedOn w:val="Standaard"/>
    <w:rsid w:val="00167AE9"/>
    <w:pPr>
      <w:widowControl w:val="0"/>
    </w:pPr>
    <w:rPr>
      <w:b/>
      <w:bCs/>
      <w:sz w:val="32"/>
      <w:szCs w:val="32"/>
      <w:lang w:val="en-GB"/>
    </w:rPr>
  </w:style>
  <w:style w:type="paragraph" w:customStyle="1" w:styleId="TOCItem">
    <w:name w:val="TOCItem"/>
    <w:basedOn w:val="Standaard"/>
    <w:rsid w:val="00167AE9"/>
    <w:pPr>
      <w:tabs>
        <w:tab w:val="left" w:leader="dot" w:pos="7061"/>
        <w:tab w:val="right" w:pos="7524"/>
      </w:tabs>
      <w:spacing w:before="60" w:after="60"/>
      <w:ind w:right="465"/>
    </w:pPr>
  </w:style>
  <w:style w:type="paragraph" w:customStyle="1" w:styleId="TOCStem">
    <w:name w:val="TOCStem"/>
    <w:basedOn w:val="Standaard"/>
    <w:uiPriority w:val="99"/>
    <w:rsid w:val="00167AE9"/>
  </w:style>
  <w:style w:type="paragraph" w:styleId="Plattetekstinspringen">
    <w:name w:val="Body Text Indent"/>
    <w:basedOn w:val="Standaard"/>
    <w:semiHidden/>
    <w:rsid w:val="00167AE9"/>
    <w:pPr>
      <w:widowControl w:val="0"/>
      <w:tabs>
        <w:tab w:val="left" w:pos="-720"/>
        <w:tab w:val="left" w:pos="567"/>
        <w:tab w:val="left" w:pos="851"/>
        <w:tab w:val="left" w:pos="1134"/>
        <w:tab w:val="left" w:pos="1418"/>
        <w:tab w:val="left" w:pos="1985"/>
        <w:tab w:val="left" w:pos="2268"/>
        <w:tab w:val="left" w:pos="2552"/>
        <w:tab w:val="left" w:pos="2835"/>
      </w:tabs>
      <w:suppressAutoHyphens/>
      <w:spacing w:line="280" w:lineRule="exact"/>
      <w:ind w:left="567"/>
      <w:jc w:val="both"/>
    </w:pPr>
    <w:rPr>
      <w:i/>
      <w:iCs/>
      <w:lang w:val="nl-NL"/>
    </w:rPr>
  </w:style>
  <w:style w:type="paragraph" w:styleId="Plattetekstinspringen3">
    <w:name w:val="Body Text Indent 3"/>
    <w:basedOn w:val="Standaard"/>
    <w:semiHidden/>
    <w:rsid w:val="00167AE9"/>
    <w:pPr>
      <w:widowControl w:val="0"/>
      <w:tabs>
        <w:tab w:val="left" w:pos="-720"/>
      </w:tabs>
      <w:suppressAutoHyphens/>
      <w:ind w:left="720"/>
      <w:jc w:val="both"/>
    </w:pPr>
    <w:rPr>
      <w:lang w:val="nl-NL"/>
    </w:rPr>
  </w:style>
  <w:style w:type="paragraph" w:styleId="Voetnoottekst">
    <w:name w:val="footnote text"/>
    <w:basedOn w:val="Standaard"/>
    <w:semiHidden/>
    <w:rsid w:val="00167AE9"/>
    <w:pPr>
      <w:widowControl w:val="0"/>
    </w:pPr>
  </w:style>
  <w:style w:type="paragraph" w:styleId="Plattetekst">
    <w:name w:val="Body Text"/>
    <w:basedOn w:val="Standaard"/>
    <w:link w:val="PlattetekstChar"/>
    <w:semiHidden/>
    <w:rsid w:val="00167AE9"/>
    <w:pPr>
      <w:widowControl w:val="0"/>
      <w:tabs>
        <w:tab w:val="left" w:pos="-720"/>
        <w:tab w:val="left" w:pos="0"/>
        <w:tab w:val="left" w:pos="851"/>
        <w:tab w:val="left" w:pos="1134"/>
        <w:tab w:val="left" w:pos="1418"/>
        <w:tab w:val="left" w:pos="1985"/>
        <w:tab w:val="left" w:pos="2268"/>
        <w:tab w:val="left" w:pos="2552"/>
        <w:tab w:val="left" w:pos="2835"/>
      </w:tabs>
      <w:suppressAutoHyphens/>
      <w:spacing w:line="280" w:lineRule="exact"/>
      <w:jc w:val="both"/>
    </w:pPr>
    <w:rPr>
      <w:sz w:val="22"/>
      <w:szCs w:val="22"/>
      <w:lang w:val="nl-NL"/>
    </w:rPr>
  </w:style>
  <w:style w:type="paragraph" w:styleId="Lijstnummering">
    <w:name w:val="List Number"/>
    <w:basedOn w:val="Standaard"/>
    <w:semiHidden/>
    <w:rsid w:val="00167AE9"/>
    <w:pPr>
      <w:keepLines/>
      <w:widowControl w:val="0"/>
      <w:spacing w:before="120" w:after="120"/>
      <w:ind w:left="720" w:hanging="720"/>
      <w:jc w:val="both"/>
    </w:pPr>
    <w:rPr>
      <w:lang w:val="nl"/>
    </w:rPr>
  </w:style>
  <w:style w:type="paragraph" w:styleId="Plattetekstinspringen2">
    <w:name w:val="Body Text Indent 2"/>
    <w:basedOn w:val="Standaard"/>
    <w:semiHidden/>
    <w:rsid w:val="00167AE9"/>
    <w:pPr>
      <w:widowControl w:val="0"/>
      <w:tabs>
        <w:tab w:val="left" w:pos="-720"/>
        <w:tab w:val="left" w:pos="567"/>
        <w:tab w:val="left" w:pos="851"/>
        <w:tab w:val="left" w:pos="1134"/>
        <w:tab w:val="left" w:pos="1418"/>
        <w:tab w:val="left" w:pos="1985"/>
        <w:tab w:val="left" w:pos="2268"/>
        <w:tab w:val="left" w:pos="2552"/>
        <w:tab w:val="left" w:pos="2835"/>
      </w:tabs>
      <w:suppressAutoHyphens/>
      <w:spacing w:line="280" w:lineRule="exact"/>
      <w:ind w:left="567"/>
      <w:jc w:val="both"/>
    </w:pPr>
    <w:rPr>
      <w:lang w:val="nl-NL"/>
    </w:rPr>
  </w:style>
  <w:style w:type="paragraph" w:customStyle="1" w:styleId="listebullet">
    <w:name w:val="liste bullet"/>
    <w:basedOn w:val="Standaard"/>
    <w:rsid w:val="00167AE9"/>
    <w:pPr>
      <w:widowControl w:val="0"/>
      <w:tabs>
        <w:tab w:val="left" w:pos="1069"/>
      </w:tabs>
      <w:spacing w:before="120" w:after="120"/>
      <w:ind w:left="1069" w:hanging="360"/>
      <w:jc w:val="both"/>
    </w:pPr>
    <w:rPr>
      <w:lang w:val="nl"/>
    </w:rPr>
  </w:style>
  <w:style w:type="paragraph" w:customStyle="1" w:styleId="Style3">
    <w:name w:val="Style3"/>
    <w:basedOn w:val="Standaard"/>
    <w:rsid w:val="00167AE9"/>
    <w:pPr>
      <w:widowControl w:val="0"/>
      <w:tabs>
        <w:tab w:val="left" w:pos="567"/>
        <w:tab w:val="left" w:pos="851"/>
        <w:tab w:val="left" w:pos="1418"/>
        <w:tab w:val="left" w:pos="1701"/>
        <w:tab w:val="left" w:pos="2268"/>
        <w:tab w:val="left" w:pos="2835"/>
      </w:tabs>
      <w:suppressAutoHyphens/>
      <w:spacing w:line="260" w:lineRule="atLeast"/>
      <w:ind w:left="562" w:hanging="562"/>
      <w:jc w:val="both"/>
    </w:pPr>
    <w:rPr>
      <w:sz w:val="22"/>
      <w:szCs w:val="22"/>
      <w:u w:val="single"/>
      <w:lang w:val="fr-FR"/>
    </w:rPr>
  </w:style>
  <w:style w:type="paragraph" w:customStyle="1" w:styleId="Tekst1T1">
    <w:name w:val="Tekst1    T1"/>
    <w:basedOn w:val="Standaard"/>
    <w:rsid w:val="00167AE9"/>
    <w:rPr>
      <w:lang w:val="nl-NL"/>
    </w:rPr>
  </w:style>
  <w:style w:type="paragraph" w:styleId="Plattetekst3">
    <w:name w:val="Body Text 3"/>
    <w:basedOn w:val="Standaard"/>
    <w:semiHidden/>
    <w:rsid w:val="00167AE9"/>
    <w:pPr>
      <w:widowControl w:val="0"/>
      <w:suppressAutoHyphens/>
      <w:spacing w:line="280" w:lineRule="exact"/>
      <w:jc w:val="center"/>
    </w:pPr>
    <w:rPr>
      <w:b/>
      <w:bCs/>
      <w:sz w:val="22"/>
      <w:szCs w:val="22"/>
      <w:u w:val="single"/>
      <w:lang w:val="nl-NL"/>
    </w:rPr>
  </w:style>
  <w:style w:type="paragraph" w:styleId="Titel">
    <w:name w:val="Title"/>
    <w:basedOn w:val="Standaard"/>
    <w:link w:val="TitelChar"/>
    <w:uiPriority w:val="10"/>
    <w:qFormat/>
    <w:rsid w:val="00167AE9"/>
    <w:pPr>
      <w:jc w:val="center"/>
    </w:pPr>
    <w:rPr>
      <w:b/>
      <w:bCs/>
      <w:u w:val="single"/>
      <w:lang w:val="nl-BE"/>
    </w:rPr>
  </w:style>
  <w:style w:type="paragraph" w:customStyle="1" w:styleId="Style1">
    <w:name w:val="Style1"/>
    <w:basedOn w:val="Standaard"/>
    <w:rsid w:val="00167AE9"/>
    <w:pPr>
      <w:widowControl w:val="0"/>
      <w:pBdr>
        <w:top w:val="single" w:sz="6" w:space="1" w:color="auto"/>
        <w:left w:val="single" w:sz="6" w:space="1" w:color="auto"/>
        <w:bottom w:val="single" w:sz="6" w:space="1" w:color="auto"/>
        <w:right w:val="single" w:sz="6" w:space="1" w:color="auto"/>
      </w:pBdr>
      <w:tabs>
        <w:tab w:val="left" w:pos="-720"/>
        <w:tab w:val="left" w:pos="567"/>
        <w:tab w:val="left" w:pos="851"/>
        <w:tab w:val="left" w:pos="1418"/>
        <w:tab w:val="left" w:pos="1701"/>
        <w:tab w:val="left" w:pos="2268"/>
        <w:tab w:val="left" w:pos="2835"/>
      </w:tabs>
      <w:suppressAutoHyphens/>
      <w:ind w:left="562" w:hanging="562"/>
      <w:jc w:val="center"/>
    </w:pPr>
    <w:rPr>
      <w:b/>
      <w:bCs/>
      <w:sz w:val="32"/>
      <w:szCs w:val="32"/>
      <w:lang w:val="fr-FR"/>
    </w:rPr>
  </w:style>
  <w:style w:type="paragraph" w:styleId="Lijst">
    <w:name w:val="List"/>
    <w:basedOn w:val="Standaard"/>
    <w:semiHidden/>
    <w:rsid w:val="00167AE9"/>
    <w:pPr>
      <w:ind w:left="283" w:hanging="283"/>
    </w:pPr>
  </w:style>
  <w:style w:type="paragraph" w:styleId="Lijst2">
    <w:name w:val="List 2"/>
    <w:basedOn w:val="Standaard"/>
    <w:semiHidden/>
    <w:rsid w:val="00167AE9"/>
    <w:pPr>
      <w:ind w:left="566" w:hanging="283"/>
    </w:pPr>
  </w:style>
  <w:style w:type="paragraph" w:styleId="Afsluiting">
    <w:name w:val="Closing"/>
    <w:basedOn w:val="Standaard"/>
    <w:link w:val="AfsluitingChar"/>
    <w:semiHidden/>
    <w:rsid w:val="00167AE9"/>
    <w:pPr>
      <w:ind w:left="4252"/>
    </w:pPr>
  </w:style>
  <w:style w:type="paragraph" w:styleId="Lijstopsomteken2">
    <w:name w:val="List Bullet 2"/>
    <w:basedOn w:val="Standaard"/>
    <w:autoRedefine/>
    <w:semiHidden/>
    <w:rsid w:val="00167AE9"/>
    <w:pPr>
      <w:tabs>
        <w:tab w:val="num" w:pos="643"/>
      </w:tabs>
      <w:ind w:left="643" w:hanging="360"/>
    </w:pPr>
  </w:style>
  <w:style w:type="paragraph" w:styleId="Lijstvoortzetting">
    <w:name w:val="List Continue"/>
    <w:basedOn w:val="Standaard"/>
    <w:semiHidden/>
    <w:rsid w:val="00167AE9"/>
    <w:pPr>
      <w:spacing w:after="120"/>
      <w:ind w:left="283"/>
    </w:pPr>
  </w:style>
  <w:style w:type="paragraph" w:styleId="Documentstructuur">
    <w:name w:val="Document Map"/>
    <w:basedOn w:val="Standaard"/>
    <w:semiHidden/>
    <w:rsid w:val="00167AE9"/>
    <w:pPr>
      <w:shd w:val="clear" w:color="auto" w:fill="000080"/>
    </w:pPr>
    <w:rPr>
      <w:rFonts w:ascii="Tahoma" w:hAnsi="Tahoma" w:cs="Tahoma"/>
    </w:rPr>
  </w:style>
  <w:style w:type="paragraph" w:styleId="Lijstmetafbeeldingen">
    <w:name w:val="table of figures"/>
    <w:basedOn w:val="Standaard"/>
    <w:next w:val="Standaard"/>
    <w:semiHidden/>
    <w:rsid w:val="00167AE9"/>
    <w:pPr>
      <w:ind w:left="400" w:hanging="400"/>
    </w:pPr>
  </w:style>
  <w:style w:type="character" w:styleId="Hyperlink">
    <w:name w:val="Hyperlink"/>
    <w:basedOn w:val="Standaardalinea-lettertype"/>
    <w:uiPriority w:val="99"/>
    <w:rsid w:val="00167AE9"/>
    <w:rPr>
      <w:color w:val="0000FF"/>
      <w:spacing w:val="0"/>
      <w:u w:val="single"/>
    </w:rPr>
  </w:style>
  <w:style w:type="paragraph" w:customStyle="1" w:styleId="BodyText4">
    <w:name w:val="Body Text 4"/>
    <w:basedOn w:val="Standaard"/>
    <w:rsid w:val="00167AE9"/>
    <w:pPr>
      <w:spacing w:after="200" w:line="288" w:lineRule="auto"/>
      <w:ind w:left="2438"/>
      <w:jc w:val="both"/>
    </w:pPr>
    <w:rPr>
      <w:rFonts w:ascii="CG Times" w:hAnsi="CG Times"/>
      <w:sz w:val="22"/>
      <w:szCs w:val="22"/>
      <w:lang w:val="en-GB"/>
    </w:rPr>
  </w:style>
  <w:style w:type="paragraph" w:customStyle="1" w:styleId="DeltaViewTableHeading">
    <w:name w:val="DeltaView Table Heading"/>
    <w:basedOn w:val="Standaard"/>
    <w:rsid w:val="00167AE9"/>
    <w:pPr>
      <w:spacing w:after="120"/>
    </w:pPr>
    <w:rPr>
      <w:b/>
      <w:bCs/>
      <w:sz w:val="24"/>
      <w:szCs w:val="24"/>
    </w:rPr>
  </w:style>
  <w:style w:type="paragraph" w:customStyle="1" w:styleId="DeltaViewTableBody">
    <w:name w:val="DeltaView Table Body"/>
    <w:basedOn w:val="Standaard"/>
    <w:rsid w:val="00167AE9"/>
    <w:rPr>
      <w:sz w:val="24"/>
      <w:szCs w:val="24"/>
    </w:rPr>
  </w:style>
  <w:style w:type="paragraph" w:customStyle="1" w:styleId="DeltaViewAnnounce">
    <w:name w:val="DeltaView Announce"/>
    <w:rsid w:val="00167AE9"/>
    <w:pPr>
      <w:autoSpaceDE w:val="0"/>
      <w:autoSpaceDN w:val="0"/>
      <w:adjustRightInd w:val="0"/>
      <w:spacing w:before="100" w:beforeAutospacing="1" w:after="100" w:afterAutospacing="1"/>
    </w:pPr>
    <w:rPr>
      <w:rFonts w:ascii="Arial" w:hAnsi="Arial"/>
      <w:sz w:val="24"/>
      <w:szCs w:val="24"/>
      <w:lang w:val="en-GB" w:eastAsia="en-US"/>
    </w:rPr>
  </w:style>
  <w:style w:type="character" w:styleId="Verwijzingopmerking">
    <w:name w:val="annotation reference"/>
    <w:basedOn w:val="Standaardalinea-lettertype"/>
    <w:uiPriority w:val="99"/>
    <w:semiHidden/>
    <w:rsid w:val="00167AE9"/>
    <w:rPr>
      <w:spacing w:val="0"/>
      <w:sz w:val="16"/>
      <w:szCs w:val="16"/>
    </w:rPr>
  </w:style>
  <w:style w:type="character" w:customStyle="1" w:styleId="DeltaViewInsertion">
    <w:name w:val="DeltaView Insertion"/>
    <w:rsid w:val="00167AE9"/>
    <w:rPr>
      <w:color w:val="0000FF"/>
      <w:spacing w:val="0"/>
      <w:u w:val="double"/>
    </w:rPr>
  </w:style>
  <w:style w:type="character" w:customStyle="1" w:styleId="DeltaViewDeletion">
    <w:name w:val="DeltaView Deletion"/>
    <w:rsid w:val="00167AE9"/>
    <w:rPr>
      <w:strike/>
      <w:color w:val="FF0000"/>
      <w:spacing w:val="0"/>
    </w:rPr>
  </w:style>
  <w:style w:type="character" w:customStyle="1" w:styleId="DeltaViewMoveSource">
    <w:name w:val="DeltaView Move Source"/>
    <w:rsid w:val="00167AE9"/>
    <w:rPr>
      <w:strike/>
      <w:color w:val="FF0000"/>
      <w:spacing w:val="0"/>
    </w:rPr>
  </w:style>
  <w:style w:type="character" w:customStyle="1" w:styleId="DeltaViewMoveDestination">
    <w:name w:val="DeltaView Move Destination"/>
    <w:rsid w:val="00167AE9"/>
    <w:rPr>
      <w:color w:val="0000FF"/>
      <w:spacing w:val="0"/>
      <w:u w:val="double"/>
    </w:rPr>
  </w:style>
  <w:style w:type="paragraph" w:styleId="Tekstopmerking">
    <w:name w:val="annotation text"/>
    <w:basedOn w:val="Standaard"/>
    <w:link w:val="TekstopmerkingChar"/>
    <w:uiPriority w:val="99"/>
    <w:rsid w:val="00167AE9"/>
  </w:style>
  <w:style w:type="character" w:customStyle="1" w:styleId="DeltaViewChangeNumber">
    <w:name w:val="DeltaView Change Number"/>
    <w:rsid w:val="00167AE9"/>
    <w:rPr>
      <w:color w:val="000000"/>
      <w:spacing w:val="0"/>
      <w:vertAlign w:val="superscript"/>
    </w:rPr>
  </w:style>
  <w:style w:type="character" w:customStyle="1" w:styleId="DeltaViewDelimiter">
    <w:name w:val="DeltaView Delimiter"/>
    <w:rsid w:val="00167AE9"/>
    <w:rPr>
      <w:spacing w:val="0"/>
    </w:rPr>
  </w:style>
  <w:style w:type="character" w:customStyle="1" w:styleId="DeltaViewFormatChange">
    <w:name w:val="DeltaView Format Change"/>
    <w:rsid w:val="00167AE9"/>
    <w:rPr>
      <w:color w:val="000000"/>
      <w:spacing w:val="0"/>
    </w:rPr>
  </w:style>
  <w:style w:type="character" w:customStyle="1" w:styleId="DeltaViewMovedDeletion">
    <w:name w:val="DeltaView Moved Deletion"/>
    <w:rsid w:val="00167AE9"/>
    <w:rPr>
      <w:strike/>
      <w:color w:val="C08080"/>
      <w:spacing w:val="0"/>
    </w:rPr>
  </w:style>
  <w:style w:type="character" w:customStyle="1" w:styleId="DeltaViewEditorComment">
    <w:name w:val="DeltaView Editor Comment"/>
    <w:basedOn w:val="Standaardalinea-lettertype"/>
    <w:rsid w:val="00167AE9"/>
    <w:rPr>
      <w:color w:val="0000FF"/>
      <w:spacing w:val="0"/>
      <w:u w:val="double"/>
    </w:rPr>
  </w:style>
  <w:style w:type="character" w:customStyle="1" w:styleId="DeltaViewStyleChangeText">
    <w:name w:val="DeltaView Style Change Text"/>
    <w:rsid w:val="00167AE9"/>
    <w:rPr>
      <w:color w:val="000000"/>
      <w:spacing w:val="0"/>
      <w:u w:val="double"/>
    </w:rPr>
  </w:style>
  <w:style w:type="character" w:customStyle="1" w:styleId="DeltaViewStyleChangeLabel">
    <w:name w:val="DeltaView Style Change Label"/>
    <w:rsid w:val="00167AE9"/>
    <w:rPr>
      <w:color w:val="000000"/>
      <w:spacing w:val="0"/>
    </w:rPr>
  </w:style>
  <w:style w:type="paragraph" w:styleId="Plattetekst2">
    <w:name w:val="Body Text 2"/>
    <w:basedOn w:val="Standaard"/>
    <w:semiHidden/>
    <w:rsid w:val="00167AE9"/>
    <w:pPr>
      <w:pBdr>
        <w:top w:val="single" w:sz="4" w:space="0" w:color="auto"/>
        <w:left w:val="single" w:sz="4" w:space="4" w:color="auto"/>
        <w:bottom w:val="single" w:sz="4" w:space="1" w:color="auto"/>
        <w:right w:val="single" w:sz="4" w:space="4" w:color="auto"/>
      </w:pBdr>
      <w:tabs>
        <w:tab w:val="left" w:pos="1134"/>
        <w:tab w:val="left" w:pos="1843"/>
        <w:tab w:val="center" w:pos="6804"/>
      </w:tabs>
      <w:jc w:val="center"/>
    </w:pPr>
    <w:rPr>
      <w:sz w:val="28"/>
      <w:lang w:val="nl-BE"/>
    </w:rPr>
  </w:style>
  <w:style w:type="character" w:styleId="GevolgdeHyperlink">
    <w:name w:val="FollowedHyperlink"/>
    <w:basedOn w:val="Standaardalinea-lettertype"/>
    <w:uiPriority w:val="99"/>
    <w:semiHidden/>
    <w:rsid w:val="00167AE9"/>
    <w:rPr>
      <w:color w:val="800080"/>
      <w:u w:val="single"/>
    </w:rPr>
  </w:style>
  <w:style w:type="paragraph" w:customStyle="1" w:styleId="rubrieken1">
    <w:name w:val="rubrieken1"/>
    <w:basedOn w:val="Standaard"/>
    <w:rsid w:val="00167AE9"/>
    <w:pPr>
      <w:overflowPunct w:val="0"/>
      <w:textAlignment w:val="baseline"/>
    </w:pPr>
    <w:rPr>
      <w:sz w:val="16"/>
      <w:lang w:val="nl-NL"/>
    </w:rPr>
  </w:style>
  <w:style w:type="paragraph" w:customStyle="1" w:styleId="artikel">
    <w:name w:val="artikel"/>
    <w:basedOn w:val="Standaard"/>
    <w:rsid w:val="00167AE9"/>
    <w:pPr>
      <w:shd w:val="pct15" w:color="auto" w:fill="FFFFFF"/>
      <w:autoSpaceDE/>
      <w:autoSpaceDN/>
      <w:adjustRightInd/>
      <w:spacing w:before="240" w:after="120"/>
    </w:pPr>
    <w:rPr>
      <w:i/>
      <w:sz w:val="16"/>
      <w:u w:val="single"/>
      <w:lang w:val="nl"/>
    </w:rPr>
  </w:style>
  <w:style w:type="paragraph" w:styleId="Ballontekst">
    <w:name w:val="Balloon Text"/>
    <w:basedOn w:val="Standaard"/>
    <w:link w:val="BallontekstChar"/>
    <w:uiPriority w:val="99"/>
    <w:semiHidden/>
    <w:unhideWhenUsed/>
    <w:rsid w:val="00102F5E"/>
    <w:rPr>
      <w:rFonts w:ascii="Tahoma" w:hAnsi="Tahoma" w:cs="Tahoma"/>
      <w:sz w:val="16"/>
      <w:szCs w:val="16"/>
    </w:rPr>
  </w:style>
  <w:style w:type="character" w:customStyle="1" w:styleId="BallontekstChar">
    <w:name w:val="Ballontekst Char"/>
    <w:basedOn w:val="Standaardalinea-lettertype"/>
    <w:link w:val="Ballontekst"/>
    <w:uiPriority w:val="99"/>
    <w:semiHidden/>
    <w:rsid w:val="00102F5E"/>
    <w:rPr>
      <w:rFonts w:ascii="Tahoma" w:hAnsi="Tahoma" w:cs="Tahoma"/>
      <w:sz w:val="16"/>
      <w:szCs w:val="16"/>
      <w:lang w:val="en-US" w:eastAsia="en-US"/>
    </w:rPr>
  </w:style>
  <w:style w:type="paragraph" w:styleId="Lijstalinea">
    <w:name w:val="List Paragraph"/>
    <w:aliases w:val="Bullets 1 niveau"/>
    <w:basedOn w:val="Standaard"/>
    <w:link w:val="LijstalineaChar"/>
    <w:uiPriority w:val="34"/>
    <w:qFormat/>
    <w:rsid w:val="00FA1FB8"/>
    <w:pPr>
      <w:ind w:left="720"/>
      <w:contextualSpacing/>
    </w:pPr>
  </w:style>
  <w:style w:type="paragraph" w:customStyle="1" w:styleId="Default">
    <w:name w:val="Default"/>
    <w:rsid w:val="005F6458"/>
    <w:pPr>
      <w:autoSpaceDE w:val="0"/>
      <w:autoSpaceDN w:val="0"/>
      <w:adjustRightInd w:val="0"/>
    </w:pPr>
    <w:rPr>
      <w:rFonts w:ascii="FBAPGL+Arial" w:hAnsi="FBAPGL+Arial" w:cs="FBAPGL+Arial"/>
      <w:color w:val="000000"/>
      <w:sz w:val="24"/>
      <w:szCs w:val="24"/>
    </w:rPr>
  </w:style>
  <w:style w:type="paragraph" w:styleId="Onderwerpvanopmerking">
    <w:name w:val="annotation subject"/>
    <w:basedOn w:val="Tekstopmerking"/>
    <w:next w:val="Tekstopmerking"/>
    <w:link w:val="OnderwerpvanopmerkingChar"/>
    <w:uiPriority w:val="99"/>
    <w:semiHidden/>
    <w:unhideWhenUsed/>
    <w:rsid w:val="00EE272D"/>
    <w:rPr>
      <w:b/>
      <w:bCs/>
    </w:rPr>
  </w:style>
  <w:style w:type="character" w:customStyle="1" w:styleId="TekstopmerkingChar">
    <w:name w:val="Tekst opmerking Char"/>
    <w:basedOn w:val="Standaardalinea-lettertype"/>
    <w:link w:val="Tekstopmerking"/>
    <w:uiPriority w:val="99"/>
    <w:rsid w:val="00EE272D"/>
    <w:rPr>
      <w:rFonts w:ascii="Arial" w:hAnsi="Arial"/>
      <w:lang w:val="en-US" w:eastAsia="en-US"/>
    </w:rPr>
  </w:style>
  <w:style w:type="character" w:customStyle="1" w:styleId="OnderwerpvanopmerkingChar">
    <w:name w:val="Onderwerp van opmerking Char"/>
    <w:basedOn w:val="TekstopmerkingChar"/>
    <w:link w:val="Onderwerpvanopmerking"/>
    <w:uiPriority w:val="99"/>
    <w:semiHidden/>
    <w:rsid w:val="00EE272D"/>
    <w:rPr>
      <w:rFonts w:ascii="Arial" w:hAnsi="Arial"/>
      <w:b/>
      <w:bCs/>
      <w:lang w:val="en-US" w:eastAsia="en-US"/>
    </w:rPr>
  </w:style>
  <w:style w:type="paragraph" w:customStyle="1" w:styleId="kop20">
    <w:name w:val="kop 2"/>
    <w:basedOn w:val="artikel"/>
    <w:link w:val="kop2Char0"/>
    <w:autoRedefine/>
    <w:qFormat/>
    <w:rsid w:val="00111101"/>
    <w:pPr>
      <w:ind w:left="720" w:hanging="294"/>
    </w:pPr>
    <w:rPr>
      <w:rFonts w:eastAsiaTheme="minorEastAsia"/>
      <w:b/>
      <w:i w:val="0"/>
      <w:sz w:val="20"/>
      <w:u w:val="none"/>
    </w:rPr>
  </w:style>
  <w:style w:type="character" w:customStyle="1" w:styleId="kop2Char0">
    <w:name w:val="kop 2 Char"/>
    <w:basedOn w:val="Standaardalinea-lettertype"/>
    <w:link w:val="kop20"/>
    <w:rsid w:val="00111101"/>
    <w:rPr>
      <w:rFonts w:ascii="Arial" w:eastAsiaTheme="minorEastAsia" w:hAnsi="Arial"/>
      <w:b/>
      <w:shd w:val="pct15" w:color="auto" w:fill="FFFFFF"/>
      <w:lang w:val="nl" w:eastAsia="en-US"/>
    </w:rPr>
  </w:style>
  <w:style w:type="paragraph" w:customStyle="1" w:styleId="Stijl1">
    <w:name w:val="Stijl1"/>
    <w:basedOn w:val="Standaard"/>
    <w:link w:val="Stijl1Char"/>
    <w:qFormat/>
    <w:rsid w:val="00E06B54"/>
    <w:pPr>
      <w:shd w:val="pct15" w:color="auto" w:fill="FFFFFF"/>
      <w:autoSpaceDE/>
      <w:autoSpaceDN/>
      <w:adjustRightInd/>
      <w:spacing w:before="240" w:after="120"/>
    </w:pPr>
    <w:rPr>
      <w:rFonts w:eastAsiaTheme="minorEastAsia"/>
      <w:b/>
      <w:sz w:val="22"/>
      <w:szCs w:val="22"/>
      <w:u w:val="single"/>
      <w:lang w:val="nl"/>
    </w:rPr>
  </w:style>
  <w:style w:type="paragraph" w:customStyle="1" w:styleId="kop">
    <w:name w:val="kop"/>
    <w:basedOn w:val="Stijl1"/>
    <w:link w:val="kopChar"/>
    <w:qFormat/>
    <w:rsid w:val="00E06B54"/>
  </w:style>
  <w:style w:type="character" w:customStyle="1" w:styleId="Stijl1Char">
    <w:name w:val="Stijl1 Char"/>
    <w:basedOn w:val="Standaardalinea-lettertype"/>
    <w:link w:val="Stijl1"/>
    <w:rsid w:val="00E06B54"/>
    <w:rPr>
      <w:rFonts w:ascii="Arial" w:eastAsiaTheme="minorEastAsia" w:hAnsi="Arial"/>
      <w:b/>
      <w:sz w:val="22"/>
      <w:szCs w:val="22"/>
      <w:u w:val="single"/>
      <w:shd w:val="pct15" w:color="auto" w:fill="FFFFFF"/>
      <w:lang w:val="nl" w:eastAsia="en-US"/>
    </w:rPr>
  </w:style>
  <w:style w:type="paragraph" w:customStyle="1" w:styleId="Stijl2">
    <w:name w:val="Stijl2"/>
    <w:basedOn w:val="Standaard"/>
    <w:next w:val="Kop1"/>
    <w:link w:val="Stijl2Char"/>
    <w:qFormat/>
    <w:rsid w:val="00E06B54"/>
    <w:pPr>
      <w:shd w:val="pct15" w:color="auto" w:fill="FFFFFF"/>
      <w:autoSpaceDE/>
      <w:autoSpaceDN/>
      <w:adjustRightInd/>
      <w:spacing w:before="240" w:after="120"/>
    </w:pPr>
    <w:rPr>
      <w:rFonts w:eastAsiaTheme="minorEastAsia"/>
      <w:b/>
      <w:sz w:val="22"/>
      <w:szCs w:val="22"/>
      <w:u w:val="single"/>
      <w:lang w:val="nl"/>
    </w:rPr>
  </w:style>
  <w:style w:type="character" w:customStyle="1" w:styleId="kopChar">
    <w:name w:val="kop Char"/>
    <w:basedOn w:val="Stijl1Char"/>
    <w:link w:val="kop"/>
    <w:rsid w:val="00E06B54"/>
    <w:rPr>
      <w:rFonts w:ascii="Arial" w:eastAsiaTheme="minorEastAsia" w:hAnsi="Arial"/>
      <w:b/>
      <w:sz w:val="22"/>
      <w:szCs w:val="22"/>
      <w:u w:val="single"/>
      <w:shd w:val="pct15" w:color="auto" w:fill="FFFFFF"/>
      <w:lang w:val="nl" w:eastAsia="en-US"/>
    </w:rPr>
  </w:style>
  <w:style w:type="character" w:customStyle="1" w:styleId="Stijl2Char">
    <w:name w:val="Stijl2 Char"/>
    <w:basedOn w:val="Standaardalinea-lettertype"/>
    <w:link w:val="Stijl2"/>
    <w:rsid w:val="00E06B54"/>
    <w:rPr>
      <w:rFonts w:ascii="Arial" w:eastAsiaTheme="minorEastAsia" w:hAnsi="Arial"/>
      <w:b/>
      <w:sz w:val="22"/>
      <w:szCs w:val="22"/>
      <w:u w:val="single"/>
      <w:shd w:val="pct15" w:color="auto" w:fill="FFFFFF"/>
      <w:lang w:val="nl" w:eastAsia="en-US"/>
    </w:rPr>
  </w:style>
  <w:style w:type="character" w:styleId="Voetnootmarkering">
    <w:name w:val="footnote reference"/>
    <w:basedOn w:val="Standaardalinea-lettertype"/>
    <w:uiPriority w:val="99"/>
    <w:semiHidden/>
    <w:unhideWhenUsed/>
    <w:rsid w:val="00181B35"/>
    <w:rPr>
      <w:vertAlign w:val="superscript"/>
    </w:rPr>
  </w:style>
  <w:style w:type="character" w:customStyle="1" w:styleId="LijstalineaChar">
    <w:name w:val="Lijstalinea Char"/>
    <w:aliases w:val="Bullets 1 niveau Char"/>
    <w:link w:val="Lijstalinea"/>
    <w:uiPriority w:val="34"/>
    <w:locked/>
    <w:rsid w:val="00656336"/>
    <w:rPr>
      <w:rFonts w:ascii="Arial" w:hAnsi="Arial"/>
      <w:lang w:val="en-US" w:eastAsia="en-US"/>
    </w:rPr>
  </w:style>
  <w:style w:type="character" w:styleId="Tekstvantijdelijkeaanduiding">
    <w:name w:val="Placeholder Text"/>
    <w:basedOn w:val="Standaardalinea-lettertype"/>
    <w:uiPriority w:val="99"/>
    <w:semiHidden/>
    <w:rsid w:val="004615F5"/>
    <w:rPr>
      <w:color w:val="808080"/>
    </w:rPr>
  </w:style>
  <w:style w:type="character" w:customStyle="1" w:styleId="PlattetekstChar">
    <w:name w:val="Platte tekst Char"/>
    <w:link w:val="Plattetekst"/>
    <w:semiHidden/>
    <w:rsid w:val="004D313A"/>
    <w:rPr>
      <w:rFonts w:ascii="Arial" w:hAnsi="Arial"/>
      <w:sz w:val="22"/>
      <w:szCs w:val="22"/>
      <w:lang w:val="nl-NL" w:eastAsia="en-US"/>
    </w:rPr>
  </w:style>
  <w:style w:type="character" w:styleId="Regelnummer">
    <w:name w:val="line number"/>
    <w:basedOn w:val="Standaardalinea-lettertype"/>
    <w:uiPriority w:val="99"/>
    <w:semiHidden/>
    <w:unhideWhenUsed/>
    <w:rsid w:val="001C715F"/>
  </w:style>
  <w:style w:type="paragraph" w:styleId="Revisie">
    <w:name w:val="Revision"/>
    <w:hidden/>
    <w:uiPriority w:val="99"/>
    <w:semiHidden/>
    <w:rsid w:val="003E6994"/>
    <w:rPr>
      <w:rFonts w:ascii="Arial" w:hAnsi="Arial"/>
      <w:lang w:val="en-US" w:eastAsia="en-US"/>
    </w:rPr>
  </w:style>
  <w:style w:type="paragraph" w:styleId="Inhopg2">
    <w:name w:val="toc 2"/>
    <w:basedOn w:val="Standaard"/>
    <w:next w:val="Standaard"/>
    <w:autoRedefine/>
    <w:uiPriority w:val="39"/>
    <w:unhideWhenUsed/>
    <w:rsid w:val="008F61D1"/>
    <w:pPr>
      <w:spacing w:after="100"/>
      <w:ind w:left="200"/>
    </w:pPr>
  </w:style>
  <w:style w:type="paragraph" w:styleId="Inhopg3">
    <w:name w:val="toc 3"/>
    <w:basedOn w:val="Standaard"/>
    <w:next w:val="Standaard"/>
    <w:autoRedefine/>
    <w:uiPriority w:val="39"/>
    <w:unhideWhenUsed/>
    <w:rsid w:val="00E13D24"/>
    <w:pPr>
      <w:tabs>
        <w:tab w:val="left" w:pos="1200"/>
        <w:tab w:val="right" w:leader="dot" w:pos="9016"/>
      </w:tabs>
      <w:autoSpaceDE/>
      <w:autoSpaceDN/>
      <w:adjustRightInd/>
      <w:ind w:left="400"/>
    </w:pPr>
    <w:rPr>
      <w:rFonts w:asciiTheme="minorHAnsi" w:eastAsiaTheme="minorHAnsi" w:hAnsiTheme="minorHAnsi" w:cstheme="minorHAnsi"/>
      <w:noProof/>
      <w:color w:val="000000" w:themeColor="text1"/>
      <w:lang w:val="nl-BE"/>
    </w:rPr>
  </w:style>
  <w:style w:type="paragraph" w:styleId="Inhopg4">
    <w:name w:val="toc 4"/>
    <w:basedOn w:val="Standaard"/>
    <w:next w:val="Standaard"/>
    <w:autoRedefine/>
    <w:uiPriority w:val="39"/>
    <w:unhideWhenUsed/>
    <w:rsid w:val="00E13D24"/>
    <w:pPr>
      <w:tabs>
        <w:tab w:val="left" w:pos="1000"/>
        <w:tab w:val="right" w:leader="dot" w:pos="9016"/>
      </w:tabs>
      <w:autoSpaceDE/>
      <w:autoSpaceDN/>
      <w:adjustRightInd/>
      <w:ind w:left="600"/>
    </w:pPr>
    <w:rPr>
      <w:rFonts w:asciiTheme="minorHAnsi" w:eastAsiaTheme="minorHAnsi" w:hAnsiTheme="minorHAnsi" w:cstheme="minorHAnsi"/>
      <w:noProof/>
      <w:color w:val="000000" w:themeColor="text1"/>
      <w:lang w:val="nl-BE"/>
    </w:rPr>
  </w:style>
  <w:style w:type="character" w:customStyle="1" w:styleId="Kop1Char">
    <w:name w:val="Kop 1 Char"/>
    <w:aliases w:val="Part Title Char"/>
    <w:basedOn w:val="Standaardalinea-lettertype"/>
    <w:link w:val="Kop1"/>
    <w:uiPriority w:val="9"/>
    <w:rsid w:val="008F61D1"/>
    <w:rPr>
      <w:rFonts w:ascii="Arial" w:hAnsi="Arial"/>
      <w:i/>
      <w:iCs/>
      <w:sz w:val="18"/>
      <w:szCs w:val="18"/>
      <w:lang w:val="en-US" w:eastAsia="en-US"/>
    </w:rPr>
  </w:style>
  <w:style w:type="character" w:customStyle="1" w:styleId="Kop2Char">
    <w:name w:val="Kop 2 Char"/>
    <w:aliases w:val="Chapter Title Char,Artikel nummer Char"/>
    <w:basedOn w:val="Standaardalinea-lettertype"/>
    <w:link w:val="Kop2"/>
    <w:uiPriority w:val="9"/>
    <w:rsid w:val="008F61D1"/>
    <w:rPr>
      <w:rFonts w:ascii="Arial" w:hAnsi="Arial"/>
      <w:b/>
      <w:bCs/>
      <w:sz w:val="32"/>
      <w:szCs w:val="32"/>
      <w:lang w:val="en-US" w:eastAsia="en-US"/>
    </w:rPr>
  </w:style>
  <w:style w:type="character" w:customStyle="1" w:styleId="Kop3Char">
    <w:name w:val="Kop 3 Char"/>
    <w:aliases w:val="Section Title Char"/>
    <w:basedOn w:val="Standaardalinea-lettertype"/>
    <w:link w:val="Kop3"/>
    <w:uiPriority w:val="9"/>
    <w:rsid w:val="001C0F03"/>
    <w:rPr>
      <w:rFonts w:ascii="Arial" w:eastAsiaTheme="majorEastAsia" w:hAnsi="Arial" w:cs="Arial"/>
      <w:b/>
      <w:bCs/>
      <w:sz w:val="12"/>
      <w:szCs w:val="22"/>
      <w:lang w:eastAsia="en-US"/>
    </w:rPr>
  </w:style>
  <w:style w:type="character" w:customStyle="1" w:styleId="Kop4Char">
    <w:name w:val="Kop 4 Char"/>
    <w:aliases w:val="Map Title Char"/>
    <w:basedOn w:val="Standaardalinea-lettertype"/>
    <w:link w:val="Kop4"/>
    <w:uiPriority w:val="9"/>
    <w:rsid w:val="008F61D1"/>
    <w:rPr>
      <w:rFonts w:ascii="Arial" w:hAnsi="Arial"/>
      <w:b/>
      <w:bCs/>
      <w:sz w:val="28"/>
      <w:szCs w:val="28"/>
      <w:lang w:val="nl-NL" w:eastAsia="en-US"/>
    </w:rPr>
  </w:style>
  <w:style w:type="character" w:customStyle="1" w:styleId="TitelChar">
    <w:name w:val="Titel Char"/>
    <w:basedOn w:val="Standaardalinea-lettertype"/>
    <w:link w:val="Titel"/>
    <w:uiPriority w:val="10"/>
    <w:rsid w:val="008F61D1"/>
    <w:rPr>
      <w:rFonts w:ascii="Arial" w:hAnsi="Arial"/>
      <w:b/>
      <w:bCs/>
      <w:u w:val="single"/>
      <w:lang w:eastAsia="en-US"/>
    </w:rPr>
  </w:style>
  <w:style w:type="paragraph" w:styleId="Ondertitel">
    <w:name w:val="Subtitle"/>
    <w:basedOn w:val="Standaard"/>
    <w:next w:val="Standaard"/>
    <w:link w:val="OndertitelChar"/>
    <w:uiPriority w:val="11"/>
    <w:qFormat/>
    <w:rsid w:val="008F61D1"/>
    <w:pPr>
      <w:autoSpaceDE/>
      <w:autoSpaceDN/>
      <w:adjustRightInd/>
      <w:jc w:val="center"/>
    </w:pPr>
    <w:rPr>
      <w:rFonts w:eastAsiaTheme="minorHAnsi" w:cs="Arial"/>
      <w:sz w:val="24"/>
      <w:szCs w:val="22"/>
      <w:lang w:val="nl-BE"/>
    </w:rPr>
  </w:style>
  <w:style w:type="character" w:customStyle="1" w:styleId="OndertitelChar">
    <w:name w:val="Ondertitel Char"/>
    <w:basedOn w:val="Standaardalinea-lettertype"/>
    <w:link w:val="Ondertitel"/>
    <w:uiPriority w:val="11"/>
    <w:rsid w:val="008F61D1"/>
    <w:rPr>
      <w:rFonts w:ascii="Arial" w:eastAsiaTheme="minorHAnsi" w:hAnsi="Arial" w:cs="Arial"/>
      <w:sz w:val="24"/>
      <w:szCs w:val="22"/>
      <w:lang w:eastAsia="en-US"/>
    </w:rPr>
  </w:style>
  <w:style w:type="character" w:customStyle="1" w:styleId="AfsluitingChar">
    <w:name w:val="Afsluiting Char"/>
    <w:basedOn w:val="Standaardalinea-lettertype"/>
    <w:link w:val="Afsluiting"/>
    <w:semiHidden/>
    <w:rsid w:val="008F61D1"/>
    <w:rPr>
      <w:rFonts w:ascii="Arial" w:hAnsi="Arial"/>
      <w:lang w:val="en-US" w:eastAsia="en-US"/>
    </w:rPr>
  </w:style>
  <w:style w:type="character" w:customStyle="1" w:styleId="Kop8Char">
    <w:name w:val="Kop 8 Char"/>
    <w:basedOn w:val="Standaardalinea-lettertype"/>
    <w:link w:val="Kop8"/>
    <w:uiPriority w:val="9"/>
    <w:rsid w:val="008F61D1"/>
    <w:rPr>
      <w:rFonts w:ascii="Arial" w:hAnsi="Arial"/>
      <w:i/>
      <w:iCs/>
      <w:sz w:val="24"/>
      <w:szCs w:val="24"/>
      <w:lang w:val="en-US" w:eastAsia="en-US"/>
    </w:rPr>
  </w:style>
  <w:style w:type="character" w:customStyle="1" w:styleId="KoptekstChar">
    <w:name w:val="Koptekst Char"/>
    <w:basedOn w:val="Standaardalinea-lettertype"/>
    <w:link w:val="Koptekst"/>
    <w:uiPriority w:val="99"/>
    <w:rsid w:val="008F61D1"/>
    <w:rPr>
      <w:rFonts w:ascii="Arial" w:hAnsi="Arial"/>
      <w:lang w:val="en-US" w:eastAsia="en-US"/>
    </w:rPr>
  </w:style>
  <w:style w:type="character" w:customStyle="1" w:styleId="Kop5Char">
    <w:name w:val="Kop 5 Char"/>
    <w:aliases w:val="Block Label Char"/>
    <w:basedOn w:val="Standaardalinea-lettertype"/>
    <w:link w:val="Kop5"/>
    <w:uiPriority w:val="9"/>
    <w:rsid w:val="008F61D1"/>
    <w:rPr>
      <w:rFonts w:ascii="Arial" w:hAnsi="Arial"/>
      <w:b/>
      <w:bCs/>
      <w:lang w:val="en-US" w:eastAsia="en-US"/>
    </w:rPr>
  </w:style>
  <w:style w:type="character" w:customStyle="1" w:styleId="Kop6Char">
    <w:name w:val="Kop 6 Char"/>
    <w:aliases w:val="subArtikel Char"/>
    <w:basedOn w:val="Standaardalinea-lettertype"/>
    <w:link w:val="Kop6"/>
    <w:rsid w:val="008F61D1"/>
    <w:rPr>
      <w:rFonts w:ascii="Times" w:hAnsi="Times" w:cs="Times"/>
      <w:i/>
      <w:iCs/>
      <w:sz w:val="22"/>
      <w:szCs w:val="22"/>
      <w:lang w:val="en-US" w:eastAsia="en-US"/>
    </w:rPr>
  </w:style>
  <w:style w:type="paragraph" w:styleId="Inhopg5">
    <w:name w:val="toc 5"/>
    <w:basedOn w:val="Standaard"/>
    <w:next w:val="Standaard"/>
    <w:autoRedefine/>
    <w:uiPriority w:val="39"/>
    <w:unhideWhenUsed/>
    <w:rsid w:val="008F61D1"/>
    <w:pPr>
      <w:autoSpaceDE/>
      <w:autoSpaceDN/>
      <w:adjustRightInd/>
      <w:ind w:left="800"/>
    </w:pPr>
    <w:rPr>
      <w:rFonts w:asciiTheme="minorHAnsi" w:eastAsiaTheme="minorHAnsi" w:hAnsiTheme="minorHAnsi" w:cstheme="minorHAnsi"/>
      <w:lang w:val="nl-BE"/>
    </w:rPr>
  </w:style>
  <w:style w:type="paragraph" w:styleId="Inhopg6">
    <w:name w:val="toc 6"/>
    <w:basedOn w:val="Standaard"/>
    <w:next w:val="Standaard"/>
    <w:autoRedefine/>
    <w:uiPriority w:val="39"/>
    <w:unhideWhenUsed/>
    <w:rsid w:val="008F61D1"/>
    <w:pPr>
      <w:autoSpaceDE/>
      <w:autoSpaceDN/>
      <w:adjustRightInd/>
      <w:ind w:left="1000"/>
    </w:pPr>
    <w:rPr>
      <w:rFonts w:asciiTheme="minorHAnsi" w:eastAsiaTheme="minorHAnsi" w:hAnsiTheme="minorHAnsi" w:cstheme="minorHAnsi"/>
      <w:lang w:val="nl-BE"/>
    </w:rPr>
  </w:style>
  <w:style w:type="paragraph" w:styleId="Inhopg7">
    <w:name w:val="toc 7"/>
    <w:basedOn w:val="Standaard"/>
    <w:next w:val="Standaard"/>
    <w:autoRedefine/>
    <w:uiPriority w:val="39"/>
    <w:unhideWhenUsed/>
    <w:rsid w:val="008F61D1"/>
    <w:pPr>
      <w:autoSpaceDE/>
      <w:autoSpaceDN/>
      <w:adjustRightInd/>
      <w:ind w:left="1200"/>
    </w:pPr>
    <w:rPr>
      <w:rFonts w:asciiTheme="minorHAnsi" w:eastAsiaTheme="minorHAnsi" w:hAnsiTheme="minorHAnsi" w:cstheme="minorHAnsi"/>
      <w:lang w:val="nl-BE"/>
    </w:rPr>
  </w:style>
  <w:style w:type="paragraph" w:styleId="Inhopg8">
    <w:name w:val="toc 8"/>
    <w:basedOn w:val="Standaard"/>
    <w:next w:val="Standaard"/>
    <w:autoRedefine/>
    <w:uiPriority w:val="39"/>
    <w:unhideWhenUsed/>
    <w:rsid w:val="008F61D1"/>
    <w:pPr>
      <w:autoSpaceDE/>
      <w:autoSpaceDN/>
      <w:adjustRightInd/>
      <w:ind w:left="1400"/>
    </w:pPr>
    <w:rPr>
      <w:rFonts w:asciiTheme="minorHAnsi" w:eastAsiaTheme="minorHAnsi" w:hAnsiTheme="minorHAnsi" w:cstheme="minorHAnsi"/>
      <w:lang w:val="nl-BE"/>
    </w:rPr>
  </w:style>
  <w:style w:type="paragraph" w:styleId="Inhopg9">
    <w:name w:val="toc 9"/>
    <w:basedOn w:val="Standaard"/>
    <w:next w:val="Standaard"/>
    <w:autoRedefine/>
    <w:uiPriority w:val="39"/>
    <w:unhideWhenUsed/>
    <w:rsid w:val="008F61D1"/>
    <w:pPr>
      <w:autoSpaceDE/>
      <w:autoSpaceDN/>
      <w:adjustRightInd/>
      <w:ind w:left="1600"/>
    </w:pPr>
    <w:rPr>
      <w:rFonts w:asciiTheme="minorHAnsi" w:eastAsiaTheme="minorHAnsi" w:hAnsiTheme="minorHAnsi" w:cstheme="minorHAnsi"/>
      <w:lang w:val="nl-BE"/>
    </w:rPr>
  </w:style>
  <w:style w:type="paragraph" w:styleId="Kopvaninhoudsopgave">
    <w:name w:val="TOC Heading"/>
    <w:basedOn w:val="Kop1"/>
    <w:next w:val="Standaard"/>
    <w:uiPriority w:val="39"/>
    <w:semiHidden/>
    <w:unhideWhenUsed/>
    <w:qFormat/>
    <w:rsid w:val="008F61D1"/>
    <w:pPr>
      <w:keepLines/>
      <w:autoSpaceDE/>
      <w:autoSpaceDN/>
      <w:adjustRightInd/>
      <w:spacing w:before="480" w:line="276" w:lineRule="auto"/>
      <w:outlineLvl w:val="9"/>
    </w:pPr>
    <w:rPr>
      <w:rFonts w:asciiTheme="majorHAnsi" w:eastAsiaTheme="majorEastAsia" w:hAnsiTheme="majorHAnsi" w:cstheme="majorBidi"/>
      <w:b/>
      <w:bCs/>
      <w:i w:val="0"/>
      <w:iCs w:val="0"/>
      <w:color w:val="365F91" w:themeColor="accent1" w:themeShade="BF"/>
      <w:sz w:val="28"/>
      <w:szCs w:val="28"/>
      <w:lang w:val="nl-BE" w:eastAsia="nl-BE"/>
    </w:rPr>
  </w:style>
  <w:style w:type="paragraph" w:styleId="Normaalweb">
    <w:name w:val="Normal (Web)"/>
    <w:basedOn w:val="Standaard"/>
    <w:uiPriority w:val="99"/>
    <w:semiHidden/>
    <w:unhideWhenUsed/>
    <w:rsid w:val="008F61D1"/>
    <w:pPr>
      <w:autoSpaceDE/>
      <w:autoSpaceDN/>
      <w:adjustRightInd/>
      <w:spacing w:before="100" w:beforeAutospacing="1" w:after="100" w:afterAutospacing="1"/>
    </w:pPr>
    <w:rPr>
      <w:rFonts w:ascii="Times New Roman" w:eastAsiaTheme="minorHAnsi" w:hAnsi="Times New Roman"/>
      <w:sz w:val="24"/>
      <w:szCs w:val="24"/>
      <w:lang w:val="nl-BE" w:eastAsia="nl-BE"/>
    </w:rPr>
  </w:style>
  <w:style w:type="character" w:customStyle="1" w:styleId="VoettekstChar">
    <w:name w:val="Voettekst Char"/>
    <w:basedOn w:val="Standaardalinea-lettertype"/>
    <w:link w:val="Voettekst"/>
    <w:uiPriority w:val="99"/>
    <w:rsid w:val="008F61D1"/>
    <w:rPr>
      <w:rFonts w:ascii="Arial" w:hAnsi="Arial"/>
      <w:lang w:val="en-US" w:eastAsia="en-US"/>
    </w:rPr>
  </w:style>
  <w:style w:type="paragraph" w:styleId="Geenafstand">
    <w:name w:val="No Spacing"/>
    <w:uiPriority w:val="1"/>
    <w:qFormat/>
    <w:rsid w:val="008F61D1"/>
    <w:pPr>
      <w:jc w:val="both"/>
    </w:pPr>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289231">
      <w:bodyDiv w:val="1"/>
      <w:marLeft w:val="0"/>
      <w:marRight w:val="0"/>
      <w:marTop w:val="0"/>
      <w:marBottom w:val="0"/>
      <w:divBdr>
        <w:top w:val="none" w:sz="0" w:space="0" w:color="auto"/>
        <w:left w:val="none" w:sz="0" w:space="0" w:color="auto"/>
        <w:bottom w:val="none" w:sz="0" w:space="0" w:color="auto"/>
        <w:right w:val="none" w:sz="0" w:space="0" w:color="auto"/>
      </w:divBdr>
    </w:div>
    <w:div w:id="1390614951">
      <w:bodyDiv w:val="1"/>
      <w:marLeft w:val="0"/>
      <w:marRight w:val="0"/>
      <w:marTop w:val="0"/>
      <w:marBottom w:val="0"/>
      <w:divBdr>
        <w:top w:val="none" w:sz="0" w:space="0" w:color="auto"/>
        <w:left w:val="none" w:sz="0" w:space="0" w:color="auto"/>
        <w:bottom w:val="none" w:sz="0" w:space="0" w:color="auto"/>
        <w:right w:val="none" w:sz="0" w:space="0" w:color="auto"/>
      </w:divBdr>
    </w:div>
    <w:div w:id="181024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synergrid.be"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customXml" Target="../customXml/item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1F0DBFB10474B4090AA0AFB3DB20CA4"/>
        <w:category>
          <w:name w:val="Algemeen"/>
          <w:gallery w:val="placeholder"/>
        </w:category>
        <w:types>
          <w:type w:val="bbPlcHdr"/>
        </w:types>
        <w:behaviors>
          <w:behavior w:val="content"/>
        </w:behaviors>
        <w:guid w:val="{A02FB133-3A6B-46EC-9EC5-2B846A56A2B4}"/>
      </w:docPartPr>
      <w:docPartBody>
        <w:p w:rsidR="00970709" w:rsidRDefault="00970709" w:rsidP="00970709">
          <w:pPr>
            <w:pStyle w:val="91F0DBFB10474B4090AA0AFB3DB20CA4"/>
          </w:pPr>
          <w:r w:rsidRPr="0045488F">
            <w:rPr>
              <w:rStyle w:val="Tekstvantijdelijkeaanduiding"/>
            </w:rPr>
            <w:t>Kies een item.</w:t>
          </w:r>
        </w:p>
      </w:docPartBody>
    </w:docPart>
    <w:docPart>
      <w:docPartPr>
        <w:name w:val="CC5959469AB54D5D86C25C229BCE2A1A"/>
        <w:category>
          <w:name w:val="Algemeen"/>
          <w:gallery w:val="placeholder"/>
        </w:category>
        <w:types>
          <w:type w:val="bbPlcHdr"/>
        </w:types>
        <w:behaviors>
          <w:behavior w:val="content"/>
        </w:behaviors>
        <w:guid w:val="{8804E966-8CDD-4802-BDC5-AE5E74875002}"/>
      </w:docPartPr>
      <w:docPartBody>
        <w:p w:rsidR="00000000" w:rsidRDefault="00BF61A1" w:rsidP="00BF61A1">
          <w:pPr>
            <w:pStyle w:val="CC5959469AB54D5D86C25C229BCE2A1A"/>
          </w:pPr>
          <w:r w:rsidRPr="001D3312">
            <w:rPr>
              <w:rStyle w:val="Tekstvantijdelijkeaanduiding"/>
              <w:highlight w:val="yellow"/>
              <w:lang w:val="en-US"/>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FBAPGL+Arial">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BAPIO+Arial,Bold">
    <w:altName w:val="Arial"/>
    <w:panose1 w:val="00000000000000000000"/>
    <w:charset w:val="00"/>
    <w:family w:val="swiss"/>
    <w:notTrueType/>
    <w:pitch w:val="default"/>
    <w:sig w:usb0="00000003" w:usb1="00000000" w:usb2="00000000" w:usb3="00000000" w:csb0="00000001" w:csb1="00000000"/>
  </w:font>
  <w:font w:name="FBAPHN+TimesNewRoman">
    <w:altName w:val="Times New Roman"/>
    <w:panose1 w:val="00000000000000000000"/>
    <w:charset w:val="00"/>
    <w:family w:val="roman"/>
    <w:notTrueType/>
    <w:pitch w:val="default"/>
    <w:sig w:usb0="00000003" w:usb1="00000000" w:usb2="00000000" w:usb3="00000000" w:csb0="00000001" w:csb1="00000000"/>
  </w:font>
  <w:font w:name="FDEPLD+Arial">
    <w:altName w:val="Arial"/>
    <w:panose1 w:val="00000000000000000000"/>
    <w:charset w:val="00"/>
    <w:family w:val="swiss"/>
    <w:notTrueType/>
    <w:pitch w:val="default"/>
    <w:sig w:usb0="00000003" w:usb1="00000000" w:usb2="00000000" w:usb3="00000000" w:csb0="00000001" w:csb1="00000000"/>
  </w:font>
  <w:font w:name="FDEPOF+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0709"/>
    <w:rsid w:val="000B3034"/>
    <w:rsid w:val="0013080D"/>
    <w:rsid w:val="002038D2"/>
    <w:rsid w:val="00227095"/>
    <w:rsid w:val="0027296C"/>
    <w:rsid w:val="0067464B"/>
    <w:rsid w:val="00801F82"/>
    <w:rsid w:val="00970709"/>
    <w:rsid w:val="00BF61A1"/>
    <w:rsid w:val="00C50282"/>
    <w:rsid w:val="00CC671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F61A1"/>
    <w:rPr>
      <w:color w:val="808080"/>
    </w:rPr>
  </w:style>
  <w:style w:type="paragraph" w:customStyle="1" w:styleId="B05D4B21F2C448FEB4A14A43CF7A4E34">
    <w:name w:val="B05D4B21F2C448FEB4A14A43CF7A4E34"/>
    <w:rsid w:val="00970709"/>
  </w:style>
  <w:style w:type="paragraph" w:customStyle="1" w:styleId="1F368296705F4979816C9F4FB832B640">
    <w:name w:val="1F368296705F4979816C9F4FB832B640"/>
    <w:rsid w:val="00970709"/>
  </w:style>
  <w:style w:type="paragraph" w:customStyle="1" w:styleId="91F0DBFB10474B4090AA0AFB3DB20CA4">
    <w:name w:val="91F0DBFB10474B4090AA0AFB3DB20CA4"/>
    <w:rsid w:val="00970709"/>
  </w:style>
  <w:style w:type="paragraph" w:customStyle="1" w:styleId="0228E1DA9E7E4A9ABD9B7080B6F7CEE1">
    <w:name w:val="0228E1DA9E7E4A9ABD9B7080B6F7CEE1"/>
    <w:rsid w:val="0027296C"/>
    <w:pPr>
      <w:spacing w:after="160" w:line="259" w:lineRule="auto"/>
    </w:pPr>
  </w:style>
  <w:style w:type="paragraph" w:customStyle="1" w:styleId="CC5959469AB54D5D86C25C229BCE2A1A">
    <w:name w:val="CC5959469AB54D5D86C25C229BCE2A1A"/>
    <w:rsid w:val="00BF61A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5BEB95A086FD94BB1787C78B932B2D3" ma:contentTypeVersion="10" ma:contentTypeDescription="Een nieuw document maken." ma:contentTypeScope="" ma:versionID="d323ddf9b30bdc5442b6e4c63834179e">
  <xsd:schema xmlns:xsd="http://www.w3.org/2001/XMLSchema" xmlns:xs="http://www.w3.org/2001/XMLSchema" xmlns:p="http://schemas.microsoft.com/office/2006/metadata/properties" xmlns:ns2="a12958ee-c455-49ea-ad9d-526e393985ae" xmlns:ns3="f95f4fcd-f460-4558-ac4c-e7acdae38f48" targetNamespace="http://schemas.microsoft.com/office/2006/metadata/properties" ma:root="true" ma:fieldsID="944ddc57d8ea2e019d8c0159f44b8726" ns2:_="" ns3:_="">
    <xsd:import namespace="a12958ee-c455-49ea-ad9d-526e393985ae"/>
    <xsd:import namespace="f95f4fcd-f460-4558-ac4c-e7acdae38f4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Omerking" minOccurs="0"/>
                <xsd:element ref="ns3:Opmerkin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958ee-c455-49ea-ad9d-526e393985ae"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5f4fcd-f460-4558-ac4c-e7acdae38f4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Omerking" ma:index="16" nillable="true" ma:displayName="Opmerking" ma:description="belangrijke info mbt dit bestand" ma:internalName="Omerking">
      <xsd:simpleType>
        <xsd:restriction base="dms:Text">
          <xsd:maxLength value="255"/>
        </xsd:restriction>
      </xsd:simpleType>
    </xsd:element>
    <xsd:element name="Opmerkingen" ma:index="17" nillable="true" ma:displayName="Opmerkingen" ma:internalName="Opmerkinge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merking xmlns="f95f4fcd-f460-4558-ac4c-e7acdae38f48" xsi:nil="true"/>
    <Opmerkingen xmlns="f95f4fcd-f460-4558-ac4c-e7acdae38f48" xsi:nil="true"/>
  </documentManagement>
</p:properties>
</file>

<file path=customXml/itemProps1.xml><?xml version="1.0" encoding="utf-8"?>
<ds:datastoreItem xmlns:ds="http://schemas.openxmlformats.org/officeDocument/2006/customXml" ds:itemID="{DEBDB048-41E9-4D93-8B25-1D72FCBB3D1E}">
  <ds:schemaRefs>
    <ds:schemaRef ds:uri="http://schemas.openxmlformats.org/officeDocument/2006/bibliography"/>
  </ds:schemaRefs>
</ds:datastoreItem>
</file>

<file path=customXml/itemProps2.xml><?xml version="1.0" encoding="utf-8"?>
<ds:datastoreItem xmlns:ds="http://schemas.openxmlformats.org/officeDocument/2006/customXml" ds:itemID="{43344EDE-4AC1-4CFF-B1DC-9C541B31799C}"/>
</file>

<file path=customXml/itemProps3.xml><?xml version="1.0" encoding="utf-8"?>
<ds:datastoreItem xmlns:ds="http://schemas.openxmlformats.org/officeDocument/2006/customXml" ds:itemID="{2BA0CF53-9CE8-4105-9530-960ACAE5D1EA}"/>
</file>

<file path=customXml/itemProps4.xml><?xml version="1.0" encoding="utf-8"?>
<ds:datastoreItem xmlns:ds="http://schemas.openxmlformats.org/officeDocument/2006/customXml" ds:itemID="{6BEEB610-428E-48C2-BE46-8DE78D2ABE85}"/>
</file>

<file path=docProps/app.xml><?xml version="1.0" encoding="utf-8"?>
<Properties xmlns="http://schemas.openxmlformats.org/officeDocument/2006/extended-properties" xmlns:vt="http://schemas.openxmlformats.org/officeDocument/2006/docPropsVTypes">
  <Template>Normal</Template>
  <TotalTime>0</TotalTime>
  <Pages>15</Pages>
  <Words>10114</Words>
  <Characters>55632</Characters>
  <Application>Microsoft Office Word</Application>
  <DocSecurity>0</DocSecurity>
  <Lines>463</Lines>
  <Paragraphs>131</Paragraphs>
  <ScaleCrop>false</ScaleCrop>
  <HeadingPairs>
    <vt:vector size="2" baseType="variant">
      <vt:variant>
        <vt:lpstr>Titel</vt:lpstr>
      </vt:variant>
      <vt:variant>
        <vt:i4>1</vt:i4>
      </vt:variant>
    </vt:vector>
  </HeadingPairs>
  <TitlesOfParts>
    <vt:vector size="1" baseType="lpstr">
      <vt:lpstr>BIJLAGE 2 bij not commentaar</vt:lpstr>
    </vt:vector>
  </TitlesOfParts>
  <LinksUpToDate>false</LinksUpToDate>
  <CharactersWithSpaces>65615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2 bij not commentaar</dc:title>
  <dc:creator/>
  <cp:lastModifiedBy/>
  <cp:revision>1</cp:revision>
  <dcterms:created xsi:type="dcterms:W3CDTF">2018-05-31T12:15:00Z</dcterms:created>
  <dcterms:modified xsi:type="dcterms:W3CDTF">2019-01-17T08:39:00Z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0x01010085BEB95A086FD94BB1787C78B932B2D3</vt:lpwstr>
  </property>
</Properties>
</file>